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30" w:rsidRPr="00D428A2" w:rsidRDefault="006B1B30" w:rsidP="00F83824">
      <w:pPr>
        <w:pStyle w:val="Nincstrkz"/>
        <w:jc w:val="center"/>
        <w:rPr>
          <w:rFonts w:ascii="Arial" w:hAnsi="Arial" w:cs="Arial"/>
          <w:b/>
        </w:rPr>
      </w:pPr>
      <w:bookmarkStart w:id="0" w:name="_GoBack"/>
      <w:bookmarkEnd w:id="0"/>
      <w:r w:rsidRPr="00D428A2">
        <w:rPr>
          <w:rFonts w:ascii="Arial" w:hAnsi="Arial" w:cs="Arial"/>
          <w:b/>
        </w:rPr>
        <w:t>Annex 2.1.</w:t>
      </w:r>
    </w:p>
    <w:p w:rsidR="00F83824" w:rsidRPr="00763947" w:rsidRDefault="00F83824" w:rsidP="00F83824">
      <w:pPr>
        <w:pStyle w:val="Nincstrkz"/>
        <w:jc w:val="center"/>
        <w:rPr>
          <w:rFonts w:ascii="Arial" w:hAnsi="Arial" w:cs="Arial"/>
          <w:b/>
        </w:rPr>
      </w:pPr>
    </w:p>
    <w:p w:rsidR="004457D6" w:rsidRPr="00763947" w:rsidRDefault="004457D6" w:rsidP="004457D6">
      <w:pPr>
        <w:pStyle w:val="Nincstrkz"/>
        <w:ind w:left="720"/>
        <w:jc w:val="center"/>
        <w:rPr>
          <w:rFonts w:ascii="Arial" w:hAnsi="Arial" w:cs="Arial"/>
          <w:b/>
          <w:lang w:val="en-GB"/>
        </w:rPr>
      </w:pPr>
      <w:r w:rsidRPr="00763947">
        <w:rPr>
          <w:rFonts w:ascii="Arial" w:hAnsi="Arial" w:cs="Arial"/>
          <w:b/>
          <w:lang w:val="en-GB"/>
        </w:rPr>
        <w:t>System parameters for FWS in the fixed service</w:t>
      </w:r>
    </w:p>
    <w:p w:rsidR="00F83824" w:rsidRPr="00763947" w:rsidRDefault="00F83824" w:rsidP="00F83824">
      <w:pPr>
        <w:pStyle w:val="Nincstrkz"/>
        <w:ind w:left="720"/>
        <w:jc w:val="both"/>
        <w:rPr>
          <w:rFonts w:ascii="Arial" w:hAnsi="Arial" w:cs="Arial"/>
          <w:b/>
        </w:rPr>
      </w:pPr>
    </w:p>
    <w:p w:rsidR="002E0E1B" w:rsidRPr="00763947" w:rsidRDefault="004457D6" w:rsidP="004457D6">
      <w:pPr>
        <w:pStyle w:val="Nincstrkz"/>
        <w:numPr>
          <w:ilvl w:val="0"/>
          <w:numId w:val="11"/>
        </w:numPr>
        <w:jc w:val="both"/>
        <w:rPr>
          <w:rFonts w:ascii="Arial" w:hAnsi="Arial" w:cs="Arial"/>
          <w:b/>
        </w:rPr>
      </w:pPr>
      <w:r w:rsidRPr="00763947">
        <w:rPr>
          <w:rFonts w:ascii="Arial" w:hAnsi="Arial" w:cs="Arial"/>
          <w:b/>
        </w:rPr>
        <w:t>Introduction</w:t>
      </w:r>
    </w:p>
    <w:p w:rsidR="002070A6" w:rsidRPr="00763947" w:rsidRDefault="004457D6" w:rsidP="002070A6">
      <w:pPr>
        <w:rPr>
          <w:rFonts w:ascii="Arial" w:hAnsi="Arial" w:cs="Arial"/>
          <w:sz w:val="22"/>
          <w:szCs w:val="22"/>
          <w:lang w:val="en-US"/>
        </w:rPr>
      </w:pPr>
      <w:r w:rsidRPr="00763947">
        <w:rPr>
          <w:rFonts w:ascii="Arial" w:eastAsia="MS Mincho" w:hAnsi="Arial" w:cs="Arial"/>
          <w:sz w:val="22"/>
          <w:szCs w:val="22"/>
          <w:lang w:eastAsia="ja-JP"/>
        </w:rPr>
        <w:t xml:space="preserve">This nnex </w:t>
      </w:r>
      <w:r w:rsidR="002070A6" w:rsidRPr="00763947">
        <w:rPr>
          <w:rFonts w:ascii="Arial" w:eastAsia="MS Mincho" w:hAnsi="Arial" w:cs="Arial"/>
          <w:sz w:val="22"/>
          <w:szCs w:val="22"/>
          <w:lang w:eastAsia="ja-JP"/>
        </w:rPr>
        <w:t xml:space="preserve">provides </w:t>
      </w:r>
      <w:r w:rsidR="0067622C" w:rsidRPr="00763947">
        <w:rPr>
          <w:rFonts w:ascii="Arial" w:eastAsia="MS Mincho" w:hAnsi="Arial" w:cs="Arial"/>
          <w:sz w:val="22"/>
          <w:szCs w:val="22"/>
          <w:lang w:eastAsia="ja-JP"/>
        </w:rPr>
        <w:t xml:space="preserve">the necessary </w:t>
      </w:r>
      <w:r w:rsidRPr="00763947">
        <w:rPr>
          <w:rFonts w:ascii="Arial" w:eastAsia="MS Mincho" w:hAnsi="Arial" w:cs="Arial"/>
          <w:sz w:val="22"/>
          <w:szCs w:val="22"/>
          <w:lang w:eastAsia="ja-JP"/>
        </w:rPr>
        <w:t xml:space="preserve"> FWS </w:t>
      </w:r>
      <w:r w:rsidR="002070A6" w:rsidRPr="00763947">
        <w:rPr>
          <w:rFonts w:ascii="Arial" w:eastAsia="MS Mincho" w:hAnsi="Arial" w:cs="Arial"/>
          <w:sz w:val="22"/>
          <w:szCs w:val="22"/>
          <w:lang w:eastAsia="ja-JP"/>
        </w:rPr>
        <w:t xml:space="preserve">system parameters required for interference evaluation and </w:t>
      </w:r>
      <w:r w:rsidR="0067622C" w:rsidRPr="00763947">
        <w:rPr>
          <w:rFonts w:ascii="Arial" w:eastAsia="MS Mincho" w:hAnsi="Arial" w:cs="Arial"/>
          <w:sz w:val="22"/>
          <w:szCs w:val="22"/>
          <w:lang w:eastAsia="ja-JP"/>
        </w:rPr>
        <w:t xml:space="preserve">for </w:t>
      </w:r>
      <w:r w:rsidR="002070A6" w:rsidRPr="00763947">
        <w:rPr>
          <w:rFonts w:ascii="Arial" w:eastAsia="MS Mincho" w:hAnsi="Arial" w:cs="Arial"/>
          <w:sz w:val="22"/>
          <w:szCs w:val="22"/>
          <w:lang w:eastAsia="ja-JP"/>
        </w:rPr>
        <w:t xml:space="preserve"> frequency sharing studies </w:t>
      </w:r>
      <w:r w:rsidR="00DE6F02" w:rsidRPr="00763947">
        <w:rPr>
          <w:rFonts w:ascii="Arial" w:eastAsia="MS Mincho" w:hAnsi="Arial" w:cs="Arial"/>
          <w:sz w:val="22"/>
          <w:szCs w:val="22"/>
          <w:lang w:eastAsia="ja-JP"/>
        </w:rPr>
        <w:t xml:space="preserve">betweeen FS and </w:t>
      </w:r>
      <w:r w:rsidR="002070A6" w:rsidRPr="00763947">
        <w:rPr>
          <w:rFonts w:ascii="Arial" w:eastAsia="MS Mincho" w:hAnsi="Arial" w:cs="Arial"/>
          <w:sz w:val="22"/>
          <w:szCs w:val="22"/>
          <w:lang w:eastAsia="ja-JP"/>
        </w:rPr>
        <w:t xml:space="preserve"> other services. </w:t>
      </w:r>
      <w:r w:rsidR="002070A6" w:rsidRPr="00763947">
        <w:rPr>
          <w:rFonts w:ascii="Arial" w:hAnsi="Arial" w:cs="Arial"/>
          <w:sz w:val="22"/>
          <w:szCs w:val="22"/>
          <w:lang w:val="en-US"/>
        </w:rPr>
        <w:t xml:space="preserve">The system parameters are </w:t>
      </w:r>
      <w:r w:rsidR="00DE6F02" w:rsidRPr="00763947">
        <w:rPr>
          <w:rFonts w:ascii="Arial" w:hAnsi="Arial" w:cs="Arial"/>
          <w:sz w:val="22"/>
          <w:szCs w:val="22"/>
          <w:lang w:val="en-US"/>
        </w:rPr>
        <w:t xml:space="preserve">shown </w:t>
      </w:r>
      <w:r w:rsidR="002070A6" w:rsidRPr="00763947">
        <w:rPr>
          <w:rFonts w:ascii="Arial" w:hAnsi="Arial" w:cs="Arial"/>
          <w:sz w:val="22"/>
          <w:szCs w:val="22"/>
          <w:lang w:val="en-US"/>
        </w:rPr>
        <w:t>in tabl</w:t>
      </w:r>
      <w:r w:rsidR="00DE6F02" w:rsidRPr="00763947">
        <w:rPr>
          <w:rFonts w:ascii="Arial" w:hAnsi="Arial" w:cs="Arial"/>
          <w:sz w:val="22"/>
          <w:szCs w:val="22"/>
          <w:lang w:val="en-US"/>
        </w:rPr>
        <w:t>es</w:t>
      </w:r>
      <w:r w:rsidR="002070A6" w:rsidRPr="00763947">
        <w:rPr>
          <w:rFonts w:ascii="Arial" w:hAnsi="Arial" w:cs="Arial"/>
          <w:sz w:val="22"/>
          <w:szCs w:val="22"/>
          <w:lang w:val="en-US"/>
        </w:rPr>
        <w:t xml:space="preserve"> for </w:t>
      </w:r>
      <w:proofErr w:type="gramStart"/>
      <w:r w:rsidR="002070A6" w:rsidRPr="00763947">
        <w:rPr>
          <w:rFonts w:ascii="Arial" w:hAnsi="Arial" w:cs="Arial"/>
          <w:sz w:val="22"/>
          <w:szCs w:val="22"/>
          <w:lang w:val="en-US"/>
        </w:rPr>
        <w:t>the</w:t>
      </w:r>
      <w:r w:rsidR="00DE6F02" w:rsidRPr="00763947">
        <w:rPr>
          <w:rFonts w:ascii="Arial" w:hAnsi="Arial" w:cs="Arial"/>
          <w:sz w:val="22"/>
          <w:szCs w:val="22"/>
          <w:lang w:val="en-US"/>
        </w:rPr>
        <w:t>se</w:t>
      </w:r>
      <w:r w:rsidR="002070A6" w:rsidRPr="00763947">
        <w:rPr>
          <w:rFonts w:ascii="Arial" w:hAnsi="Arial" w:cs="Arial"/>
          <w:sz w:val="22"/>
          <w:szCs w:val="22"/>
          <w:lang w:val="en-US"/>
        </w:rPr>
        <w:t xml:space="preserve">  frequency</w:t>
      </w:r>
      <w:proofErr w:type="gramEnd"/>
      <w:r w:rsidR="002070A6" w:rsidRPr="00763947">
        <w:rPr>
          <w:rFonts w:ascii="Arial" w:hAnsi="Arial" w:cs="Arial"/>
          <w:sz w:val="22"/>
          <w:szCs w:val="22"/>
          <w:lang w:val="en-US"/>
        </w:rPr>
        <w:t xml:space="preserve"> ranges required to undertake sharing studies between the FS and other services.</w:t>
      </w:r>
    </w:p>
    <w:p w:rsidR="002070A6" w:rsidRPr="00763947" w:rsidRDefault="002070A6" w:rsidP="002070A6">
      <w:pPr>
        <w:ind w:left="426"/>
        <w:rPr>
          <w:rFonts w:ascii="Arial" w:hAnsi="Arial" w:cs="Arial"/>
          <w:b/>
          <w:sz w:val="22"/>
          <w:szCs w:val="22"/>
          <w:lang w:val="en-US" w:eastAsia="ja-JP"/>
        </w:rPr>
      </w:pPr>
      <w:r w:rsidRPr="00763947">
        <w:rPr>
          <w:rFonts w:ascii="Arial" w:hAnsi="Arial" w:cs="Arial"/>
          <w:b/>
          <w:sz w:val="22"/>
          <w:szCs w:val="22"/>
          <w:lang w:val="en-US"/>
        </w:rPr>
        <w:t>2. Transmitter characterization</w:t>
      </w:r>
    </w:p>
    <w:p w:rsidR="002070A6" w:rsidRPr="00763947" w:rsidRDefault="002070A6" w:rsidP="002070A6">
      <w:pPr>
        <w:pStyle w:val="Cmsor2"/>
        <w:ind w:hanging="708"/>
        <w:rPr>
          <w:rFonts w:ascii="Arial" w:hAnsi="Arial" w:cs="Arial"/>
          <w:sz w:val="22"/>
          <w:szCs w:val="22"/>
          <w:lang w:val="en-US" w:eastAsia="ja-JP"/>
        </w:rPr>
      </w:pPr>
      <w:bookmarkStart w:id="1" w:name="OLE_LINK4"/>
      <w:r w:rsidRPr="00763947">
        <w:rPr>
          <w:rFonts w:ascii="Arial" w:hAnsi="Arial" w:cs="Arial"/>
          <w:sz w:val="22"/>
          <w:szCs w:val="22"/>
          <w:lang w:val="en-US"/>
        </w:rPr>
        <w:t xml:space="preserve">2.1. </w:t>
      </w:r>
      <w:r w:rsidRPr="00763947">
        <w:rPr>
          <w:rFonts w:ascii="Arial" w:hAnsi="Arial" w:cs="Arial"/>
          <w:sz w:val="22"/>
          <w:szCs w:val="22"/>
          <w:lang w:val="en-US" w:eastAsia="ja-JP"/>
        </w:rPr>
        <w:t>Equipment parameters</w:t>
      </w:r>
      <w:bookmarkEnd w:id="1"/>
    </w:p>
    <w:p w:rsidR="002070A6" w:rsidRPr="00763947" w:rsidRDefault="002070A6" w:rsidP="002070A6">
      <w:pPr>
        <w:rPr>
          <w:rFonts w:ascii="Arial" w:hAnsi="Arial" w:cs="Arial"/>
          <w:sz w:val="22"/>
          <w:szCs w:val="22"/>
          <w:lang w:val="en-US"/>
        </w:rPr>
      </w:pPr>
      <w:r w:rsidRPr="00763947">
        <w:rPr>
          <w:rFonts w:ascii="Arial" w:hAnsi="Arial" w:cs="Arial"/>
          <w:sz w:val="22"/>
          <w:szCs w:val="22"/>
          <w:lang w:val="en-US"/>
        </w:rPr>
        <w:t xml:space="preserve">The basic transmitter </w:t>
      </w:r>
      <w:proofErr w:type="gramStart"/>
      <w:r w:rsidRPr="00763947">
        <w:rPr>
          <w:rFonts w:ascii="Arial" w:hAnsi="Arial" w:cs="Arial"/>
          <w:sz w:val="22"/>
          <w:szCs w:val="22"/>
          <w:lang w:val="en-US"/>
        </w:rPr>
        <w:t xml:space="preserve">parameters  </w:t>
      </w:r>
      <w:r w:rsidR="00DE6F02" w:rsidRPr="00763947">
        <w:rPr>
          <w:rFonts w:ascii="Arial" w:hAnsi="Arial" w:cs="Arial"/>
          <w:sz w:val="22"/>
          <w:szCs w:val="22"/>
          <w:lang w:val="en-US"/>
        </w:rPr>
        <w:t>for</w:t>
      </w:r>
      <w:proofErr w:type="gramEnd"/>
      <w:r w:rsidR="00DE6F02" w:rsidRPr="00763947">
        <w:rPr>
          <w:rFonts w:ascii="Arial" w:hAnsi="Arial" w:cs="Arial"/>
          <w:sz w:val="22"/>
          <w:szCs w:val="22"/>
          <w:lang w:val="en-US"/>
        </w:rPr>
        <w:t xml:space="preserve"> the </w:t>
      </w:r>
      <w:r w:rsidRPr="00763947">
        <w:rPr>
          <w:rFonts w:ascii="Arial" w:hAnsi="Arial" w:cs="Arial"/>
          <w:sz w:val="22"/>
          <w:szCs w:val="22"/>
          <w:lang w:val="en-US"/>
        </w:rPr>
        <w:t>assess</w:t>
      </w:r>
      <w:r w:rsidR="00DE6F02" w:rsidRPr="00763947">
        <w:rPr>
          <w:rFonts w:ascii="Arial" w:hAnsi="Arial" w:cs="Arial"/>
          <w:sz w:val="22"/>
          <w:szCs w:val="22"/>
          <w:lang w:val="en-US"/>
        </w:rPr>
        <w:t xml:space="preserve">ment of potential </w:t>
      </w:r>
      <w:r w:rsidRPr="00763947">
        <w:rPr>
          <w:rFonts w:ascii="Arial" w:hAnsi="Arial" w:cs="Arial"/>
          <w:sz w:val="22"/>
          <w:szCs w:val="22"/>
          <w:lang w:val="en-US"/>
        </w:rPr>
        <w:t>interference  to</w:t>
      </w:r>
      <w:r w:rsidR="00DE6F02" w:rsidRPr="00763947">
        <w:rPr>
          <w:rFonts w:ascii="Arial" w:hAnsi="Arial" w:cs="Arial"/>
          <w:sz w:val="22"/>
          <w:szCs w:val="22"/>
          <w:lang w:val="en-US"/>
        </w:rPr>
        <w:t>wards</w:t>
      </w:r>
      <w:r w:rsidRPr="00763947">
        <w:rPr>
          <w:rFonts w:ascii="Arial" w:hAnsi="Arial" w:cs="Arial"/>
          <w:sz w:val="22"/>
          <w:szCs w:val="22"/>
          <w:lang w:val="en-US"/>
        </w:rPr>
        <w:t xml:space="preserve"> other services are</w:t>
      </w:r>
      <w:r w:rsidR="00DE6F02" w:rsidRPr="00763947">
        <w:rPr>
          <w:rFonts w:ascii="Arial" w:hAnsi="Arial" w:cs="Arial"/>
          <w:sz w:val="22"/>
          <w:szCs w:val="22"/>
          <w:lang w:val="en-US"/>
        </w:rPr>
        <w:t xml:space="preserve"> as follows</w:t>
      </w:r>
      <w:r w:rsidRPr="00763947">
        <w:rPr>
          <w:rFonts w:ascii="Arial" w:hAnsi="Arial" w:cs="Arial"/>
          <w:sz w:val="22"/>
          <w:szCs w:val="22"/>
          <w:lang w:val="en-US"/>
        </w:rPr>
        <w:t>:</w:t>
      </w:r>
    </w:p>
    <w:p w:rsidR="002070A6" w:rsidRPr="00763947" w:rsidRDefault="002070A6" w:rsidP="002070A6">
      <w:pPr>
        <w:pStyle w:val="enumlev1"/>
        <w:rPr>
          <w:rFonts w:ascii="Arial" w:hAnsi="Arial" w:cs="Arial"/>
          <w:sz w:val="22"/>
          <w:szCs w:val="22"/>
          <w:lang w:val="en-US"/>
        </w:rPr>
      </w:pPr>
      <w:r w:rsidRPr="00763947">
        <w:rPr>
          <w:rFonts w:ascii="Arial" w:hAnsi="Arial" w:cs="Arial"/>
          <w:sz w:val="22"/>
          <w:szCs w:val="22"/>
          <w:lang w:val="en-US"/>
        </w:rPr>
        <w:t>–</w:t>
      </w:r>
      <w:r w:rsidRPr="00763947">
        <w:rPr>
          <w:rFonts w:ascii="Arial" w:hAnsi="Arial" w:cs="Arial"/>
          <w:sz w:val="22"/>
          <w:szCs w:val="22"/>
          <w:lang w:val="en-US"/>
        </w:rPr>
        <w:tab/>
      </w:r>
      <w:proofErr w:type="gramStart"/>
      <w:r w:rsidRPr="00763947">
        <w:rPr>
          <w:rFonts w:ascii="Arial" w:hAnsi="Arial" w:cs="Arial"/>
          <w:sz w:val="22"/>
          <w:szCs w:val="22"/>
          <w:lang w:val="en-US"/>
        </w:rPr>
        <w:t>carrier</w:t>
      </w:r>
      <w:proofErr w:type="gramEnd"/>
      <w:r w:rsidRPr="00763947">
        <w:rPr>
          <w:rFonts w:ascii="Arial" w:hAnsi="Arial" w:cs="Arial"/>
          <w:sz w:val="22"/>
          <w:szCs w:val="22"/>
          <w:lang w:val="en-US"/>
        </w:rPr>
        <w:t xml:space="preserve"> frequency;</w:t>
      </w:r>
    </w:p>
    <w:p w:rsidR="002070A6" w:rsidRPr="00763947" w:rsidRDefault="002070A6" w:rsidP="002070A6">
      <w:pPr>
        <w:pStyle w:val="enumlev1"/>
        <w:rPr>
          <w:rFonts w:ascii="Arial" w:hAnsi="Arial" w:cs="Arial"/>
          <w:sz w:val="22"/>
          <w:szCs w:val="22"/>
          <w:lang w:val="en-US"/>
        </w:rPr>
      </w:pPr>
      <w:r w:rsidRPr="00763947">
        <w:rPr>
          <w:rFonts w:ascii="Arial" w:hAnsi="Arial" w:cs="Arial"/>
          <w:sz w:val="22"/>
          <w:szCs w:val="22"/>
          <w:lang w:val="en-US"/>
        </w:rPr>
        <w:t>–</w:t>
      </w:r>
      <w:r w:rsidRPr="00763947">
        <w:rPr>
          <w:rFonts w:ascii="Arial" w:hAnsi="Arial" w:cs="Arial"/>
          <w:sz w:val="22"/>
          <w:szCs w:val="22"/>
          <w:lang w:val="en-US"/>
        </w:rPr>
        <w:tab/>
      </w:r>
      <w:proofErr w:type="gramStart"/>
      <w:r w:rsidRPr="00763947">
        <w:rPr>
          <w:rFonts w:ascii="Arial" w:hAnsi="Arial" w:cs="Arial"/>
          <w:sz w:val="22"/>
          <w:szCs w:val="22"/>
          <w:lang w:val="en-US"/>
        </w:rPr>
        <w:t>spectral</w:t>
      </w:r>
      <w:proofErr w:type="gramEnd"/>
      <w:r w:rsidRPr="00763947">
        <w:rPr>
          <w:rFonts w:ascii="Arial" w:hAnsi="Arial" w:cs="Arial"/>
          <w:sz w:val="22"/>
          <w:szCs w:val="22"/>
          <w:lang w:val="en-US"/>
        </w:rPr>
        <w:t xml:space="preserve"> characteristics (e.g. bandwidth and transmitter power density);</w:t>
      </w:r>
    </w:p>
    <w:p w:rsidR="002070A6" w:rsidRPr="00763947" w:rsidRDefault="002070A6" w:rsidP="002070A6">
      <w:pPr>
        <w:pStyle w:val="enumlev1"/>
        <w:rPr>
          <w:rFonts w:ascii="Arial" w:hAnsi="Arial" w:cs="Arial"/>
          <w:sz w:val="22"/>
          <w:szCs w:val="22"/>
          <w:lang w:val="en-US"/>
        </w:rPr>
      </w:pPr>
      <w:r w:rsidRPr="00763947">
        <w:rPr>
          <w:rFonts w:ascii="Arial" w:hAnsi="Arial" w:cs="Arial"/>
          <w:sz w:val="22"/>
          <w:szCs w:val="22"/>
          <w:lang w:val="en-US"/>
        </w:rPr>
        <w:t>–</w:t>
      </w:r>
      <w:r w:rsidRPr="00763947">
        <w:rPr>
          <w:rFonts w:ascii="Arial" w:hAnsi="Arial" w:cs="Arial"/>
          <w:sz w:val="22"/>
          <w:szCs w:val="22"/>
          <w:lang w:val="en-US"/>
        </w:rPr>
        <w:tab/>
      </w:r>
      <w:proofErr w:type="gramStart"/>
      <w:r w:rsidRPr="00763947">
        <w:rPr>
          <w:rFonts w:ascii="Arial" w:hAnsi="Arial" w:cs="Arial"/>
          <w:sz w:val="22"/>
          <w:szCs w:val="22"/>
          <w:lang w:val="en-US"/>
        </w:rPr>
        <w:t>equivalent</w:t>
      </w:r>
      <w:proofErr w:type="gramEnd"/>
      <w:r w:rsidRPr="00763947">
        <w:rPr>
          <w:rFonts w:ascii="Arial" w:hAnsi="Arial" w:cs="Arial"/>
          <w:sz w:val="22"/>
          <w:szCs w:val="22"/>
          <w:lang w:val="en-US"/>
        </w:rPr>
        <w:t xml:space="preserve"> </w:t>
      </w:r>
      <w:proofErr w:type="spellStart"/>
      <w:r w:rsidRPr="00763947">
        <w:rPr>
          <w:rFonts w:ascii="Arial" w:hAnsi="Arial" w:cs="Arial"/>
          <w:sz w:val="22"/>
          <w:szCs w:val="22"/>
          <w:lang w:val="en-US"/>
        </w:rPr>
        <w:t>isotropical</w:t>
      </w:r>
      <w:r w:rsidRPr="00763947">
        <w:rPr>
          <w:rFonts w:ascii="Arial" w:hAnsi="Arial" w:cs="Arial"/>
          <w:sz w:val="22"/>
          <w:szCs w:val="22"/>
          <w:lang w:val="en-US" w:eastAsia="ja-JP"/>
        </w:rPr>
        <w:t>ly</w:t>
      </w:r>
      <w:proofErr w:type="spellEnd"/>
      <w:r w:rsidRPr="00763947">
        <w:rPr>
          <w:rFonts w:ascii="Arial" w:hAnsi="Arial" w:cs="Arial"/>
          <w:sz w:val="22"/>
          <w:szCs w:val="22"/>
          <w:lang w:val="en-US"/>
        </w:rPr>
        <w:t xml:space="preserve"> radiated power (</w:t>
      </w:r>
      <w:proofErr w:type="spellStart"/>
      <w:r w:rsidRPr="00763947">
        <w:rPr>
          <w:rFonts w:ascii="Arial" w:hAnsi="Arial" w:cs="Arial"/>
          <w:sz w:val="22"/>
          <w:szCs w:val="22"/>
          <w:lang w:val="en-US"/>
        </w:rPr>
        <w:t>e.i.r.p</w:t>
      </w:r>
      <w:proofErr w:type="spellEnd"/>
      <w:r w:rsidRPr="00763947">
        <w:rPr>
          <w:rFonts w:ascii="Arial" w:hAnsi="Arial" w:cs="Arial"/>
          <w:sz w:val="22"/>
          <w:szCs w:val="22"/>
          <w:lang w:val="en-US" w:eastAsia="ja-JP"/>
        </w:rPr>
        <w:t>.</w:t>
      </w:r>
      <w:r w:rsidRPr="00763947">
        <w:rPr>
          <w:rFonts w:ascii="Arial" w:hAnsi="Arial" w:cs="Arial"/>
          <w:sz w:val="22"/>
          <w:szCs w:val="22"/>
          <w:lang w:val="en-US"/>
        </w:rPr>
        <w:t>);</w:t>
      </w:r>
    </w:p>
    <w:p w:rsidR="002070A6" w:rsidRPr="00763947" w:rsidRDefault="002070A6" w:rsidP="002070A6">
      <w:pPr>
        <w:pStyle w:val="enumlev1"/>
        <w:rPr>
          <w:rFonts w:ascii="Arial" w:hAnsi="Arial" w:cs="Arial"/>
          <w:sz w:val="22"/>
          <w:szCs w:val="22"/>
          <w:lang w:val="en-US"/>
        </w:rPr>
      </w:pPr>
      <w:r w:rsidRPr="00763947">
        <w:rPr>
          <w:rFonts w:ascii="Arial" w:hAnsi="Arial" w:cs="Arial"/>
          <w:sz w:val="22"/>
          <w:szCs w:val="22"/>
          <w:lang w:val="en-US"/>
        </w:rPr>
        <w:t>–</w:t>
      </w:r>
      <w:r w:rsidRPr="00763947">
        <w:rPr>
          <w:rFonts w:ascii="Arial" w:hAnsi="Arial" w:cs="Arial"/>
          <w:sz w:val="22"/>
          <w:szCs w:val="22"/>
          <w:lang w:val="en-US"/>
        </w:rPr>
        <w:tab/>
      </w:r>
      <w:proofErr w:type="gramStart"/>
      <w:r w:rsidRPr="00763947">
        <w:rPr>
          <w:rFonts w:ascii="Arial" w:hAnsi="Arial" w:cs="Arial"/>
          <w:sz w:val="22"/>
          <w:szCs w:val="22"/>
          <w:lang w:val="en-US"/>
        </w:rPr>
        <w:t>antenna</w:t>
      </w:r>
      <w:proofErr w:type="gramEnd"/>
      <w:r w:rsidRPr="00763947">
        <w:rPr>
          <w:rFonts w:ascii="Arial" w:hAnsi="Arial" w:cs="Arial"/>
          <w:sz w:val="22"/>
          <w:szCs w:val="22"/>
          <w:lang w:val="en-US"/>
        </w:rPr>
        <w:t xml:space="preserve"> radiation pattern.</w:t>
      </w:r>
    </w:p>
    <w:p w:rsidR="00306EBE" w:rsidRPr="00763947" w:rsidRDefault="00DE6F02" w:rsidP="002070A6">
      <w:pPr>
        <w:rPr>
          <w:rFonts w:ascii="Arial" w:hAnsi="Arial" w:cs="Arial"/>
          <w:sz w:val="22"/>
          <w:szCs w:val="22"/>
          <w:lang w:val="en-US"/>
        </w:rPr>
      </w:pPr>
      <w:r w:rsidRPr="00763947">
        <w:rPr>
          <w:rFonts w:ascii="Arial" w:hAnsi="Arial" w:cs="Arial"/>
          <w:sz w:val="22"/>
          <w:szCs w:val="22"/>
          <w:lang w:val="en-US"/>
        </w:rPr>
        <w:t xml:space="preserve">Operational radio transmitter </w:t>
      </w:r>
      <w:proofErr w:type="gramStart"/>
      <w:r w:rsidRPr="00763947">
        <w:rPr>
          <w:rFonts w:ascii="Arial" w:hAnsi="Arial" w:cs="Arial"/>
          <w:sz w:val="22"/>
          <w:szCs w:val="22"/>
          <w:lang w:val="en-US"/>
        </w:rPr>
        <w:t xml:space="preserve">emissions </w:t>
      </w:r>
      <w:r w:rsidR="002070A6" w:rsidRPr="00763947">
        <w:rPr>
          <w:rFonts w:ascii="Arial" w:hAnsi="Arial" w:cs="Arial"/>
          <w:sz w:val="22"/>
          <w:szCs w:val="22"/>
          <w:lang w:val="en-US"/>
        </w:rPr>
        <w:t xml:space="preserve"> normally</w:t>
      </w:r>
      <w:proofErr w:type="gramEnd"/>
      <w:r w:rsidR="002070A6" w:rsidRPr="00763947">
        <w:rPr>
          <w:rFonts w:ascii="Arial" w:hAnsi="Arial" w:cs="Arial"/>
          <w:sz w:val="22"/>
          <w:szCs w:val="22"/>
          <w:lang w:val="en-US"/>
        </w:rPr>
        <w:t xml:space="preserve"> correspond to radio-frequency </w:t>
      </w:r>
      <w:r w:rsidR="00D815B8" w:rsidRPr="00763947">
        <w:rPr>
          <w:rFonts w:ascii="Arial" w:hAnsi="Arial" w:cs="Arial"/>
          <w:sz w:val="22"/>
          <w:szCs w:val="22"/>
          <w:lang w:val="en-US"/>
        </w:rPr>
        <w:t>channel arrangements specified in ITU-R Recommendations and/or ECC/CEPT decisions. The</w:t>
      </w:r>
      <w:r w:rsidR="002070A6" w:rsidRPr="00763947">
        <w:rPr>
          <w:rFonts w:ascii="Arial" w:hAnsi="Arial" w:cs="Arial"/>
          <w:sz w:val="22"/>
          <w:szCs w:val="22"/>
          <w:lang w:val="en-US"/>
        </w:rPr>
        <w:t xml:space="preserve"> modulation type and radio-frequency channel arrangement </w:t>
      </w:r>
      <w:proofErr w:type="gramStart"/>
      <w:r w:rsidR="004123A0" w:rsidRPr="00763947">
        <w:rPr>
          <w:rFonts w:ascii="Arial" w:hAnsi="Arial" w:cs="Arial"/>
          <w:sz w:val="22"/>
          <w:szCs w:val="22"/>
          <w:lang w:val="en-US"/>
        </w:rPr>
        <w:t xml:space="preserve">define </w:t>
      </w:r>
      <w:r w:rsidR="002070A6" w:rsidRPr="00763947">
        <w:rPr>
          <w:rFonts w:ascii="Arial" w:hAnsi="Arial" w:cs="Arial"/>
          <w:sz w:val="22"/>
          <w:szCs w:val="22"/>
          <w:lang w:val="en-US"/>
        </w:rPr>
        <w:t xml:space="preserve"> the</w:t>
      </w:r>
      <w:proofErr w:type="gramEnd"/>
      <w:r w:rsidR="002070A6" w:rsidRPr="00763947">
        <w:rPr>
          <w:rFonts w:ascii="Arial" w:hAnsi="Arial" w:cs="Arial"/>
          <w:sz w:val="22"/>
          <w:szCs w:val="22"/>
          <w:lang w:val="en-US"/>
        </w:rPr>
        <w:t xml:space="preserve"> spectral characteristics of the emissions for generic statistical evaluations, where only co-channel interference situation is usually taken into account.</w:t>
      </w:r>
    </w:p>
    <w:p w:rsidR="002070A6" w:rsidRPr="00763947" w:rsidRDefault="002070A6" w:rsidP="002070A6">
      <w:pPr>
        <w:rPr>
          <w:rFonts w:ascii="Arial" w:hAnsi="Arial" w:cs="Arial"/>
          <w:sz w:val="22"/>
          <w:szCs w:val="22"/>
          <w:lang w:val="en-US"/>
        </w:rPr>
      </w:pPr>
      <w:r w:rsidRPr="00763947">
        <w:rPr>
          <w:rFonts w:ascii="Arial" w:hAnsi="Arial" w:cs="Arial"/>
          <w:sz w:val="22"/>
          <w:szCs w:val="22"/>
          <w:lang w:val="en-US"/>
        </w:rPr>
        <w:t>The</w:t>
      </w:r>
      <w:r w:rsidRPr="00763947">
        <w:rPr>
          <w:rFonts w:ascii="Arial" w:hAnsi="Arial" w:cs="Arial"/>
          <w:sz w:val="22"/>
          <w:szCs w:val="22"/>
          <w:lang w:val="en-US" w:eastAsia="ja-JP"/>
        </w:rPr>
        <w:t xml:space="preserve"> </w:t>
      </w:r>
      <w:proofErr w:type="spellStart"/>
      <w:r w:rsidRPr="00763947">
        <w:rPr>
          <w:rFonts w:ascii="Arial" w:hAnsi="Arial" w:cs="Arial"/>
          <w:sz w:val="22"/>
          <w:szCs w:val="22"/>
          <w:lang w:val="en-US" w:eastAsia="ja-JP"/>
        </w:rPr>
        <w:t>e.i.r.p</w:t>
      </w:r>
      <w:proofErr w:type="spellEnd"/>
      <w:r w:rsidRPr="00763947">
        <w:rPr>
          <w:rFonts w:ascii="Arial" w:hAnsi="Arial" w:cs="Arial"/>
          <w:sz w:val="22"/>
          <w:szCs w:val="22"/>
          <w:lang w:val="en-US" w:eastAsia="ja-JP"/>
        </w:rPr>
        <w:t>.</w:t>
      </w:r>
      <w:r w:rsidRPr="00763947">
        <w:rPr>
          <w:rFonts w:ascii="Arial" w:hAnsi="Arial" w:cs="Arial"/>
          <w:sz w:val="22"/>
          <w:szCs w:val="22"/>
          <w:lang w:val="en-US"/>
        </w:rPr>
        <w:t xml:space="preserve"> of the transmitter is </w:t>
      </w:r>
      <w:proofErr w:type="gramStart"/>
      <w:r w:rsidR="004123A0" w:rsidRPr="00763947">
        <w:rPr>
          <w:rFonts w:ascii="Arial" w:hAnsi="Arial" w:cs="Arial"/>
          <w:sz w:val="22"/>
          <w:szCs w:val="22"/>
          <w:lang w:val="en-US"/>
        </w:rPr>
        <w:t xml:space="preserve">determined </w:t>
      </w:r>
      <w:r w:rsidRPr="00763947">
        <w:rPr>
          <w:rFonts w:ascii="Arial" w:hAnsi="Arial" w:cs="Arial"/>
          <w:sz w:val="22"/>
          <w:szCs w:val="22"/>
          <w:lang w:val="en-US"/>
        </w:rPr>
        <w:t xml:space="preserve"> </w:t>
      </w:r>
      <w:r w:rsidR="004123A0" w:rsidRPr="00763947">
        <w:rPr>
          <w:rFonts w:ascii="Arial" w:hAnsi="Arial" w:cs="Arial"/>
          <w:sz w:val="22"/>
          <w:szCs w:val="22"/>
          <w:lang w:val="en-US"/>
        </w:rPr>
        <w:t>by</w:t>
      </w:r>
      <w:proofErr w:type="gramEnd"/>
      <w:r w:rsidR="004123A0" w:rsidRPr="00763947">
        <w:rPr>
          <w:rFonts w:ascii="Arial" w:hAnsi="Arial" w:cs="Arial"/>
          <w:sz w:val="22"/>
          <w:szCs w:val="22"/>
          <w:lang w:val="en-US"/>
        </w:rPr>
        <w:t xml:space="preserve"> </w:t>
      </w:r>
      <w:r w:rsidRPr="00763947">
        <w:rPr>
          <w:rFonts w:ascii="Arial" w:hAnsi="Arial" w:cs="Arial"/>
          <w:sz w:val="22"/>
          <w:szCs w:val="22"/>
          <w:lang w:val="en-US"/>
        </w:rPr>
        <w:t xml:space="preserve">transmitter power, feeder/multiplexer losses and antenna gain. </w:t>
      </w:r>
      <w:proofErr w:type="gramStart"/>
      <w:r w:rsidR="004123A0" w:rsidRPr="00763947">
        <w:rPr>
          <w:rFonts w:ascii="Arial" w:hAnsi="Arial" w:cs="Arial"/>
          <w:sz w:val="22"/>
          <w:szCs w:val="22"/>
          <w:lang w:val="en-US"/>
        </w:rPr>
        <w:t xml:space="preserve">Basically </w:t>
      </w:r>
      <w:r w:rsidRPr="00763947">
        <w:rPr>
          <w:rFonts w:ascii="Arial" w:hAnsi="Arial" w:cs="Arial"/>
          <w:sz w:val="22"/>
          <w:szCs w:val="22"/>
          <w:lang w:val="en-US"/>
        </w:rPr>
        <w:t xml:space="preserve"> the</w:t>
      </w:r>
      <w:proofErr w:type="gramEnd"/>
      <w:r w:rsidRPr="00763947">
        <w:rPr>
          <w:rFonts w:ascii="Arial" w:hAnsi="Arial" w:cs="Arial"/>
          <w:sz w:val="22"/>
          <w:szCs w:val="22"/>
          <w:lang w:val="en-US"/>
        </w:rPr>
        <w:t xml:space="preserve"> maximum </w:t>
      </w:r>
      <w:proofErr w:type="spellStart"/>
      <w:r w:rsidRPr="00763947">
        <w:rPr>
          <w:rFonts w:ascii="Arial" w:hAnsi="Arial" w:cs="Arial"/>
          <w:sz w:val="22"/>
          <w:szCs w:val="22"/>
          <w:lang w:val="en-US" w:eastAsia="ja-JP"/>
        </w:rPr>
        <w:t>e.i.r.p</w:t>
      </w:r>
      <w:proofErr w:type="spellEnd"/>
      <w:r w:rsidRPr="00763947">
        <w:rPr>
          <w:rFonts w:ascii="Arial" w:hAnsi="Arial" w:cs="Arial"/>
          <w:sz w:val="22"/>
          <w:szCs w:val="22"/>
          <w:lang w:val="en-US" w:eastAsia="ja-JP"/>
        </w:rPr>
        <w:t>.</w:t>
      </w:r>
      <w:r w:rsidRPr="00763947">
        <w:rPr>
          <w:rFonts w:ascii="Arial" w:hAnsi="Arial" w:cs="Arial"/>
          <w:sz w:val="22"/>
          <w:szCs w:val="22"/>
          <w:lang w:val="en-US"/>
        </w:rPr>
        <w:t xml:space="preserve"> value  correspond</w:t>
      </w:r>
      <w:r w:rsidR="004123A0" w:rsidRPr="00763947">
        <w:rPr>
          <w:rFonts w:ascii="Arial" w:hAnsi="Arial" w:cs="Arial"/>
          <w:sz w:val="22"/>
          <w:szCs w:val="22"/>
          <w:lang w:val="en-US"/>
        </w:rPr>
        <w:t>s</w:t>
      </w:r>
      <w:r w:rsidRPr="00763947">
        <w:rPr>
          <w:rFonts w:ascii="Arial" w:hAnsi="Arial" w:cs="Arial"/>
          <w:sz w:val="22"/>
          <w:szCs w:val="22"/>
          <w:lang w:val="en-US"/>
        </w:rPr>
        <w:t xml:space="preserve"> to maximum antenna gain, minimum feeder/multiplexer losses and maximum transmitter output power, which represents the worst interference potential to</w:t>
      </w:r>
      <w:r w:rsidR="004123A0" w:rsidRPr="00763947">
        <w:rPr>
          <w:rFonts w:ascii="Arial" w:hAnsi="Arial" w:cs="Arial"/>
          <w:sz w:val="22"/>
          <w:szCs w:val="22"/>
          <w:lang w:val="en-US"/>
        </w:rPr>
        <w:t>wards</w:t>
      </w:r>
      <w:r w:rsidRPr="00763947">
        <w:rPr>
          <w:rFonts w:ascii="Arial" w:hAnsi="Arial" w:cs="Arial"/>
          <w:sz w:val="22"/>
          <w:szCs w:val="22"/>
          <w:lang w:val="en-US"/>
        </w:rPr>
        <w:t xml:space="preserve"> other services.</w:t>
      </w:r>
    </w:p>
    <w:p w:rsidR="002070A6" w:rsidRPr="00763947" w:rsidRDefault="004123A0" w:rsidP="002070A6">
      <w:pPr>
        <w:rPr>
          <w:rFonts w:ascii="Arial" w:hAnsi="Arial" w:cs="Arial"/>
          <w:sz w:val="22"/>
          <w:szCs w:val="22"/>
          <w:lang w:val="en-US"/>
        </w:rPr>
      </w:pPr>
      <w:r w:rsidRPr="00763947">
        <w:rPr>
          <w:rFonts w:ascii="Arial" w:hAnsi="Arial" w:cs="Arial"/>
          <w:sz w:val="22"/>
          <w:szCs w:val="22"/>
          <w:lang w:val="en-US"/>
        </w:rPr>
        <w:t>A</w:t>
      </w:r>
      <w:r w:rsidR="002070A6" w:rsidRPr="00763947">
        <w:rPr>
          <w:rFonts w:ascii="Arial" w:hAnsi="Arial" w:cs="Arial"/>
          <w:sz w:val="22"/>
          <w:szCs w:val="22"/>
          <w:lang w:val="en-US"/>
        </w:rPr>
        <w:t xml:space="preserve">ntenna radiation </w:t>
      </w:r>
      <w:proofErr w:type="gramStart"/>
      <w:r w:rsidR="002070A6" w:rsidRPr="00763947">
        <w:rPr>
          <w:rFonts w:ascii="Arial" w:hAnsi="Arial" w:cs="Arial"/>
          <w:sz w:val="22"/>
          <w:szCs w:val="22"/>
          <w:lang w:val="en-US"/>
        </w:rPr>
        <w:t xml:space="preserve">patterns  </w:t>
      </w:r>
      <w:r w:rsidRPr="00763947">
        <w:rPr>
          <w:rFonts w:ascii="Arial" w:hAnsi="Arial" w:cs="Arial"/>
          <w:sz w:val="22"/>
          <w:szCs w:val="22"/>
          <w:lang w:val="en-US"/>
        </w:rPr>
        <w:t>are</w:t>
      </w:r>
      <w:proofErr w:type="gramEnd"/>
      <w:r w:rsidRPr="00763947">
        <w:rPr>
          <w:rFonts w:ascii="Arial" w:hAnsi="Arial" w:cs="Arial"/>
          <w:sz w:val="22"/>
          <w:szCs w:val="22"/>
          <w:lang w:val="en-US"/>
        </w:rPr>
        <w:t xml:space="preserve"> </w:t>
      </w:r>
      <w:r w:rsidR="002070A6" w:rsidRPr="00763947">
        <w:rPr>
          <w:rFonts w:ascii="Arial" w:hAnsi="Arial" w:cs="Arial"/>
          <w:sz w:val="22"/>
          <w:szCs w:val="22"/>
          <w:lang w:val="en-US"/>
        </w:rPr>
        <w:t xml:space="preserve">essential  </w:t>
      </w:r>
      <w:r w:rsidRPr="00763947">
        <w:rPr>
          <w:rFonts w:ascii="Arial" w:hAnsi="Arial" w:cs="Arial"/>
          <w:sz w:val="22"/>
          <w:szCs w:val="22"/>
          <w:lang w:val="en-US"/>
        </w:rPr>
        <w:t xml:space="preserve">for </w:t>
      </w:r>
      <w:r w:rsidR="002070A6" w:rsidRPr="00763947">
        <w:rPr>
          <w:rFonts w:ascii="Arial" w:hAnsi="Arial" w:cs="Arial"/>
          <w:sz w:val="22"/>
          <w:szCs w:val="22"/>
          <w:lang w:val="en-US"/>
        </w:rPr>
        <w:t>detailed sharing studies. In cases</w:t>
      </w:r>
      <w:r w:rsidRPr="00763947">
        <w:rPr>
          <w:rFonts w:ascii="Arial" w:hAnsi="Arial" w:cs="Arial"/>
          <w:sz w:val="22"/>
          <w:szCs w:val="22"/>
          <w:lang w:val="en-US"/>
        </w:rPr>
        <w:t>,</w:t>
      </w:r>
      <w:r w:rsidR="002070A6" w:rsidRPr="00763947">
        <w:rPr>
          <w:rFonts w:ascii="Arial" w:hAnsi="Arial" w:cs="Arial"/>
          <w:sz w:val="22"/>
          <w:szCs w:val="22"/>
          <w:lang w:val="en-US"/>
        </w:rPr>
        <w:t xml:space="preserve"> where measured </w:t>
      </w:r>
      <w:r w:rsidRPr="00763947">
        <w:rPr>
          <w:rFonts w:ascii="Arial" w:hAnsi="Arial" w:cs="Arial"/>
          <w:sz w:val="22"/>
          <w:szCs w:val="22"/>
          <w:lang w:val="en-US"/>
        </w:rPr>
        <w:t xml:space="preserve">antenna </w:t>
      </w:r>
      <w:r w:rsidR="002070A6" w:rsidRPr="00763947">
        <w:rPr>
          <w:rFonts w:ascii="Arial" w:hAnsi="Arial" w:cs="Arial"/>
          <w:sz w:val="22"/>
          <w:szCs w:val="22"/>
          <w:lang w:val="en-US"/>
        </w:rPr>
        <w:t>patterns are not available, the reference radiation patterns</w:t>
      </w:r>
      <w:r w:rsidRPr="00763947">
        <w:rPr>
          <w:rFonts w:ascii="Arial" w:hAnsi="Arial" w:cs="Arial"/>
          <w:sz w:val="22"/>
          <w:szCs w:val="22"/>
          <w:lang w:val="en-US"/>
        </w:rPr>
        <w:t>,</w:t>
      </w:r>
      <w:r w:rsidR="002070A6" w:rsidRPr="00763947">
        <w:rPr>
          <w:rFonts w:ascii="Arial" w:hAnsi="Arial" w:cs="Arial"/>
          <w:sz w:val="22"/>
          <w:szCs w:val="22"/>
          <w:lang w:val="en-US"/>
        </w:rPr>
        <w:t xml:space="preserve"> addressed in the following ITU-R Recommendations</w:t>
      </w:r>
      <w:r w:rsidRPr="00763947">
        <w:rPr>
          <w:rFonts w:ascii="Arial" w:hAnsi="Arial" w:cs="Arial"/>
          <w:sz w:val="22"/>
          <w:szCs w:val="22"/>
          <w:lang w:val="en-US"/>
        </w:rPr>
        <w:t>,</w:t>
      </w:r>
      <w:r w:rsidR="002070A6" w:rsidRPr="00763947">
        <w:rPr>
          <w:rFonts w:ascii="Arial" w:hAnsi="Arial" w:cs="Arial"/>
          <w:sz w:val="22"/>
          <w:szCs w:val="22"/>
          <w:lang w:val="en-US"/>
        </w:rPr>
        <w:t xml:space="preserve"> should be used.</w:t>
      </w:r>
    </w:p>
    <w:p w:rsidR="002070A6" w:rsidRPr="00763947" w:rsidRDefault="002070A6" w:rsidP="002070A6">
      <w:pPr>
        <w:ind w:left="426"/>
        <w:rPr>
          <w:rFonts w:ascii="Arial" w:hAnsi="Arial" w:cs="Arial"/>
          <w:b/>
          <w:sz w:val="22"/>
          <w:szCs w:val="22"/>
          <w:lang w:val="en-US"/>
        </w:rPr>
      </w:pPr>
      <w:r w:rsidRPr="00763947">
        <w:rPr>
          <w:rFonts w:ascii="Arial" w:hAnsi="Arial" w:cs="Arial"/>
          <w:b/>
          <w:sz w:val="22"/>
          <w:szCs w:val="22"/>
          <w:lang w:val="en-US"/>
        </w:rPr>
        <w:t>3. Receiver characterization</w:t>
      </w:r>
    </w:p>
    <w:p w:rsidR="002070A6" w:rsidRPr="00763947" w:rsidRDefault="002070A6" w:rsidP="002070A6">
      <w:pPr>
        <w:pStyle w:val="Cmsor2"/>
        <w:ind w:hanging="708"/>
        <w:rPr>
          <w:rFonts w:ascii="Arial" w:hAnsi="Arial" w:cs="Arial"/>
          <w:sz w:val="22"/>
          <w:szCs w:val="22"/>
          <w:lang w:val="en-US"/>
        </w:rPr>
      </w:pPr>
      <w:bookmarkStart w:id="2" w:name="_Toc105236012"/>
      <w:bookmarkStart w:id="3" w:name="_Toc107644717"/>
      <w:r w:rsidRPr="00763947">
        <w:rPr>
          <w:rFonts w:ascii="Arial" w:hAnsi="Arial" w:cs="Arial"/>
          <w:sz w:val="22"/>
          <w:szCs w:val="22"/>
          <w:lang w:val="en-US"/>
        </w:rPr>
        <w:t>3.1. Equipment parameters</w:t>
      </w:r>
      <w:bookmarkEnd w:id="2"/>
      <w:bookmarkEnd w:id="3"/>
    </w:p>
    <w:p w:rsidR="002070A6" w:rsidRPr="00763947" w:rsidRDefault="00644EB5" w:rsidP="002070A6">
      <w:pPr>
        <w:rPr>
          <w:rFonts w:ascii="Arial" w:hAnsi="Arial" w:cs="Arial"/>
          <w:sz w:val="22"/>
          <w:szCs w:val="22"/>
          <w:lang w:val="en-US"/>
        </w:rPr>
      </w:pPr>
      <w:r w:rsidRPr="00763947">
        <w:rPr>
          <w:rFonts w:ascii="Arial" w:hAnsi="Arial" w:cs="Arial"/>
          <w:sz w:val="22"/>
          <w:szCs w:val="22"/>
          <w:lang w:val="en-US"/>
        </w:rPr>
        <w:t>For the a</w:t>
      </w:r>
      <w:r w:rsidR="002070A6" w:rsidRPr="00763947">
        <w:rPr>
          <w:rFonts w:ascii="Arial" w:hAnsi="Arial" w:cs="Arial"/>
          <w:sz w:val="22"/>
          <w:szCs w:val="22"/>
          <w:lang w:val="en-US"/>
        </w:rPr>
        <w:t xml:space="preserve">ssessment of the effects of interference </w:t>
      </w:r>
      <w:proofErr w:type="gramStart"/>
      <w:r w:rsidRPr="00763947">
        <w:rPr>
          <w:rFonts w:ascii="Arial" w:hAnsi="Arial" w:cs="Arial"/>
          <w:sz w:val="22"/>
          <w:szCs w:val="22"/>
          <w:lang w:val="en-US"/>
        </w:rPr>
        <w:t xml:space="preserve">towards </w:t>
      </w:r>
      <w:r w:rsidR="002070A6" w:rsidRPr="00763947">
        <w:rPr>
          <w:rFonts w:ascii="Arial" w:hAnsi="Arial" w:cs="Arial"/>
          <w:sz w:val="22"/>
          <w:szCs w:val="22"/>
          <w:lang w:val="en-US"/>
        </w:rPr>
        <w:t xml:space="preserve"> FS</w:t>
      </w:r>
      <w:proofErr w:type="gramEnd"/>
      <w:r w:rsidR="002070A6" w:rsidRPr="00763947">
        <w:rPr>
          <w:rFonts w:ascii="Arial" w:hAnsi="Arial" w:cs="Arial"/>
          <w:sz w:val="22"/>
          <w:szCs w:val="22"/>
          <w:lang w:val="en-US"/>
        </w:rPr>
        <w:t xml:space="preserve"> </w:t>
      </w:r>
      <w:r w:rsidRPr="00763947">
        <w:rPr>
          <w:rFonts w:ascii="Arial" w:hAnsi="Arial" w:cs="Arial"/>
          <w:sz w:val="22"/>
          <w:szCs w:val="22"/>
          <w:lang w:val="en-US"/>
        </w:rPr>
        <w:t xml:space="preserve">caused by </w:t>
      </w:r>
      <w:r w:rsidR="002070A6" w:rsidRPr="00763947">
        <w:rPr>
          <w:rFonts w:ascii="Arial" w:hAnsi="Arial" w:cs="Arial"/>
          <w:sz w:val="22"/>
          <w:szCs w:val="22"/>
          <w:lang w:val="en-US"/>
        </w:rPr>
        <w:t>other services  performance characteristics of the radio receiver</w:t>
      </w:r>
      <w:r w:rsidRPr="00763947">
        <w:rPr>
          <w:rFonts w:ascii="Arial" w:hAnsi="Arial" w:cs="Arial"/>
          <w:sz w:val="22"/>
          <w:szCs w:val="22"/>
          <w:lang w:val="en-US"/>
        </w:rPr>
        <w:t xml:space="preserve"> have to be known</w:t>
      </w:r>
      <w:r w:rsidR="002070A6" w:rsidRPr="00763947">
        <w:rPr>
          <w:rFonts w:ascii="Arial" w:hAnsi="Arial" w:cs="Arial"/>
          <w:sz w:val="22"/>
          <w:szCs w:val="22"/>
          <w:lang w:val="en-US"/>
        </w:rPr>
        <w:t>. The following receiver parameters are important for frequency sharing studies:</w:t>
      </w:r>
    </w:p>
    <w:p w:rsidR="002070A6" w:rsidRPr="00763947" w:rsidRDefault="002070A6" w:rsidP="002070A6">
      <w:pPr>
        <w:pStyle w:val="enumlev1"/>
        <w:rPr>
          <w:rFonts w:ascii="Arial" w:hAnsi="Arial" w:cs="Arial"/>
          <w:sz w:val="22"/>
          <w:szCs w:val="22"/>
          <w:lang w:val="en-US"/>
        </w:rPr>
      </w:pPr>
      <w:r w:rsidRPr="00763947">
        <w:rPr>
          <w:rFonts w:ascii="Arial" w:hAnsi="Arial" w:cs="Arial"/>
          <w:sz w:val="22"/>
          <w:szCs w:val="22"/>
          <w:lang w:val="en-US"/>
        </w:rPr>
        <w:t>–</w:t>
      </w:r>
      <w:r w:rsidRPr="00763947">
        <w:rPr>
          <w:rFonts w:ascii="Arial" w:hAnsi="Arial" w:cs="Arial"/>
          <w:sz w:val="22"/>
          <w:szCs w:val="22"/>
          <w:lang w:val="en-US"/>
        </w:rPr>
        <w:tab/>
      </w:r>
      <w:proofErr w:type="gramStart"/>
      <w:r w:rsidRPr="00763947">
        <w:rPr>
          <w:rFonts w:ascii="Arial" w:hAnsi="Arial" w:cs="Arial"/>
          <w:sz w:val="22"/>
          <w:szCs w:val="22"/>
          <w:lang w:val="en-US"/>
        </w:rPr>
        <w:t>noise</w:t>
      </w:r>
      <w:proofErr w:type="gramEnd"/>
      <w:r w:rsidRPr="00763947">
        <w:rPr>
          <w:rFonts w:ascii="Arial" w:hAnsi="Arial" w:cs="Arial"/>
          <w:sz w:val="22"/>
          <w:szCs w:val="22"/>
          <w:lang w:val="en-US"/>
        </w:rPr>
        <w:t xml:space="preserve"> figure;</w:t>
      </w:r>
    </w:p>
    <w:p w:rsidR="002070A6" w:rsidRPr="00763947" w:rsidRDefault="002070A6" w:rsidP="002070A6">
      <w:pPr>
        <w:pStyle w:val="enumlev1"/>
        <w:rPr>
          <w:rFonts w:ascii="Arial" w:hAnsi="Arial" w:cs="Arial"/>
          <w:sz w:val="22"/>
          <w:szCs w:val="22"/>
          <w:lang w:val="en-US"/>
        </w:rPr>
      </w:pPr>
      <w:r w:rsidRPr="00763947">
        <w:rPr>
          <w:rFonts w:ascii="Arial" w:hAnsi="Arial" w:cs="Arial"/>
          <w:sz w:val="22"/>
          <w:szCs w:val="22"/>
          <w:lang w:val="en-US"/>
        </w:rPr>
        <w:t>–</w:t>
      </w:r>
      <w:r w:rsidRPr="00763947">
        <w:rPr>
          <w:rFonts w:ascii="Arial" w:hAnsi="Arial" w:cs="Arial"/>
          <w:sz w:val="22"/>
          <w:szCs w:val="22"/>
          <w:lang w:val="en-US"/>
        </w:rPr>
        <w:tab/>
      </w:r>
      <w:proofErr w:type="gramStart"/>
      <w:r w:rsidRPr="00763947">
        <w:rPr>
          <w:rFonts w:ascii="Arial" w:hAnsi="Arial" w:cs="Arial"/>
          <w:sz w:val="22"/>
          <w:szCs w:val="22"/>
          <w:lang w:val="en-US"/>
        </w:rPr>
        <w:t>noise</w:t>
      </w:r>
      <w:proofErr w:type="gramEnd"/>
      <w:r w:rsidRPr="00763947">
        <w:rPr>
          <w:rFonts w:ascii="Arial" w:hAnsi="Arial" w:cs="Arial"/>
          <w:sz w:val="22"/>
          <w:szCs w:val="22"/>
          <w:lang w:val="en-US"/>
        </w:rPr>
        <w:t xml:space="preserve"> bandwidth;</w:t>
      </w:r>
    </w:p>
    <w:p w:rsidR="002070A6" w:rsidRPr="00763947" w:rsidRDefault="002070A6" w:rsidP="002070A6">
      <w:pPr>
        <w:pStyle w:val="enumlev1"/>
        <w:rPr>
          <w:rFonts w:ascii="Arial" w:hAnsi="Arial" w:cs="Arial"/>
          <w:sz w:val="22"/>
          <w:szCs w:val="22"/>
          <w:lang w:val="en-US"/>
        </w:rPr>
      </w:pPr>
      <w:r w:rsidRPr="00763947">
        <w:rPr>
          <w:rFonts w:ascii="Arial" w:hAnsi="Arial" w:cs="Arial"/>
          <w:sz w:val="22"/>
          <w:szCs w:val="22"/>
          <w:lang w:val="en-US"/>
        </w:rPr>
        <w:t>–</w:t>
      </w:r>
      <w:r w:rsidRPr="00763947">
        <w:rPr>
          <w:rFonts w:ascii="Arial" w:hAnsi="Arial" w:cs="Arial"/>
          <w:sz w:val="22"/>
          <w:szCs w:val="22"/>
          <w:lang w:val="en-US"/>
        </w:rPr>
        <w:tab/>
      </w:r>
      <w:proofErr w:type="gramStart"/>
      <w:r w:rsidRPr="00763947">
        <w:rPr>
          <w:rFonts w:ascii="Arial" w:hAnsi="Arial" w:cs="Arial"/>
          <w:sz w:val="22"/>
          <w:szCs w:val="22"/>
          <w:lang w:val="en-US"/>
        </w:rPr>
        <w:t>receiver</w:t>
      </w:r>
      <w:proofErr w:type="gramEnd"/>
      <w:r w:rsidRPr="00763947">
        <w:rPr>
          <w:rFonts w:ascii="Arial" w:hAnsi="Arial" w:cs="Arial"/>
          <w:sz w:val="22"/>
          <w:szCs w:val="22"/>
          <w:lang w:val="en-US"/>
        </w:rPr>
        <w:t xml:space="preserve"> thermal noise power density;</w:t>
      </w:r>
    </w:p>
    <w:p w:rsidR="002070A6" w:rsidRPr="00763947" w:rsidRDefault="002070A6" w:rsidP="002070A6">
      <w:pPr>
        <w:pStyle w:val="enumlev1"/>
        <w:rPr>
          <w:rFonts w:ascii="Arial" w:hAnsi="Arial" w:cs="Arial"/>
          <w:sz w:val="22"/>
          <w:szCs w:val="22"/>
          <w:lang w:val="en-US"/>
        </w:rPr>
      </w:pPr>
      <w:r w:rsidRPr="00763947">
        <w:rPr>
          <w:rFonts w:ascii="Arial" w:hAnsi="Arial" w:cs="Arial"/>
          <w:sz w:val="22"/>
          <w:szCs w:val="22"/>
          <w:lang w:val="en-US"/>
        </w:rPr>
        <w:t>–</w:t>
      </w:r>
      <w:r w:rsidRPr="00763947">
        <w:rPr>
          <w:rFonts w:ascii="Arial" w:hAnsi="Arial" w:cs="Arial"/>
          <w:sz w:val="22"/>
          <w:szCs w:val="22"/>
          <w:lang w:val="en-US"/>
        </w:rPr>
        <w:tab/>
      </w:r>
      <w:proofErr w:type="gramStart"/>
      <w:r w:rsidRPr="00763947">
        <w:rPr>
          <w:rFonts w:ascii="Arial" w:hAnsi="Arial" w:cs="Arial"/>
          <w:sz w:val="22"/>
          <w:szCs w:val="22"/>
          <w:lang w:val="en-US"/>
        </w:rPr>
        <w:t>received</w:t>
      </w:r>
      <w:proofErr w:type="gramEnd"/>
      <w:r w:rsidRPr="00763947">
        <w:rPr>
          <w:rFonts w:ascii="Arial" w:hAnsi="Arial" w:cs="Arial"/>
          <w:sz w:val="22"/>
          <w:szCs w:val="22"/>
          <w:lang w:val="en-US"/>
        </w:rPr>
        <w:t xml:space="preserve"> signal power for </w:t>
      </w:r>
      <w:r w:rsidR="00644EB5" w:rsidRPr="00763947">
        <w:rPr>
          <w:rFonts w:ascii="Arial" w:hAnsi="Arial" w:cs="Arial"/>
          <w:sz w:val="22"/>
          <w:szCs w:val="22"/>
          <w:lang w:val="en-US"/>
        </w:rPr>
        <w:t xml:space="preserve">certain levels of bit error rates (BER) </w:t>
      </w:r>
      <w:r w:rsidRPr="00763947">
        <w:rPr>
          <w:rFonts w:ascii="Arial" w:hAnsi="Arial" w:cs="Arial"/>
          <w:sz w:val="22"/>
          <w:szCs w:val="22"/>
          <w:lang w:val="en-US"/>
        </w:rPr>
        <w:t>1 </w:t>
      </w:r>
      <w:r w:rsidRPr="00763947">
        <w:rPr>
          <w:rFonts w:ascii="Arial" w:hAnsi="Arial" w:cs="Arial"/>
          <w:sz w:val="22"/>
          <w:szCs w:val="22"/>
          <w:lang w:val="en-US"/>
        </w:rPr>
        <w:sym w:font="Symbol" w:char="F0B4"/>
      </w:r>
      <w:r w:rsidRPr="00763947">
        <w:rPr>
          <w:rFonts w:ascii="Arial" w:hAnsi="Arial" w:cs="Arial"/>
          <w:sz w:val="22"/>
          <w:szCs w:val="22"/>
          <w:lang w:val="en-US"/>
        </w:rPr>
        <w:t> 10</w:t>
      </w:r>
      <w:r w:rsidRPr="00763947">
        <w:rPr>
          <w:rFonts w:ascii="Arial" w:hAnsi="Arial" w:cs="Arial"/>
          <w:sz w:val="22"/>
          <w:szCs w:val="22"/>
          <w:vertAlign w:val="superscript"/>
          <w:lang w:val="en-US"/>
        </w:rPr>
        <w:t>−3</w:t>
      </w:r>
      <w:r w:rsidRPr="00763947">
        <w:rPr>
          <w:rFonts w:ascii="Arial" w:hAnsi="Arial" w:cs="Arial"/>
          <w:sz w:val="22"/>
          <w:szCs w:val="22"/>
          <w:lang w:val="en-US"/>
        </w:rPr>
        <w:t>, 1 </w:t>
      </w:r>
      <w:r w:rsidRPr="00763947">
        <w:rPr>
          <w:rFonts w:ascii="Arial" w:hAnsi="Arial" w:cs="Arial"/>
          <w:sz w:val="22"/>
          <w:szCs w:val="22"/>
          <w:lang w:val="en-US"/>
        </w:rPr>
        <w:sym w:font="Symbol" w:char="F0B4"/>
      </w:r>
      <w:r w:rsidRPr="00763947">
        <w:rPr>
          <w:rFonts w:ascii="Arial" w:hAnsi="Arial" w:cs="Arial"/>
          <w:sz w:val="22"/>
          <w:szCs w:val="22"/>
          <w:lang w:val="en-US"/>
        </w:rPr>
        <w:t> 10</w:t>
      </w:r>
      <w:r w:rsidRPr="00763947">
        <w:rPr>
          <w:rFonts w:ascii="Arial" w:hAnsi="Arial" w:cs="Arial"/>
          <w:sz w:val="22"/>
          <w:szCs w:val="22"/>
          <w:vertAlign w:val="superscript"/>
          <w:lang w:val="en-US"/>
        </w:rPr>
        <w:t>−6</w:t>
      </w:r>
      <w:r w:rsidRPr="00763947">
        <w:rPr>
          <w:rFonts w:ascii="Arial" w:hAnsi="Arial" w:cs="Arial"/>
          <w:sz w:val="22"/>
          <w:szCs w:val="22"/>
          <w:lang w:val="en-US"/>
        </w:rPr>
        <w:t>, 1 </w:t>
      </w:r>
      <w:r w:rsidRPr="00763947">
        <w:rPr>
          <w:rFonts w:ascii="Arial" w:hAnsi="Arial" w:cs="Arial"/>
          <w:sz w:val="22"/>
          <w:szCs w:val="22"/>
          <w:lang w:val="en-US"/>
        </w:rPr>
        <w:sym w:font="Symbol" w:char="F0B4"/>
      </w:r>
      <w:r w:rsidRPr="00763947">
        <w:rPr>
          <w:rFonts w:ascii="Arial" w:hAnsi="Arial" w:cs="Arial"/>
          <w:sz w:val="22"/>
          <w:szCs w:val="22"/>
          <w:lang w:val="en-US"/>
        </w:rPr>
        <w:t> 10</w:t>
      </w:r>
      <w:r w:rsidRPr="00763947">
        <w:rPr>
          <w:rFonts w:ascii="Arial" w:hAnsi="Arial" w:cs="Arial"/>
          <w:sz w:val="22"/>
          <w:szCs w:val="22"/>
          <w:vertAlign w:val="superscript"/>
          <w:lang w:val="en-US"/>
        </w:rPr>
        <w:t>−10</w:t>
      </w:r>
      <w:r w:rsidRPr="00763947">
        <w:rPr>
          <w:rFonts w:ascii="Arial" w:hAnsi="Arial" w:cs="Arial"/>
          <w:sz w:val="22"/>
          <w:szCs w:val="22"/>
          <w:lang w:val="en-US"/>
        </w:rPr>
        <w:t xml:space="preserve"> BER (post-error-correction);</w:t>
      </w:r>
    </w:p>
    <w:p w:rsidR="002070A6" w:rsidRPr="00763947" w:rsidRDefault="002070A6" w:rsidP="002070A6">
      <w:pPr>
        <w:pStyle w:val="enumlev1"/>
        <w:rPr>
          <w:rFonts w:ascii="Arial" w:hAnsi="Arial" w:cs="Arial"/>
          <w:sz w:val="22"/>
          <w:szCs w:val="22"/>
          <w:lang w:val="en-US"/>
        </w:rPr>
      </w:pPr>
      <w:r w:rsidRPr="00763947">
        <w:rPr>
          <w:rFonts w:ascii="Arial" w:hAnsi="Arial" w:cs="Arial"/>
          <w:sz w:val="22"/>
          <w:szCs w:val="22"/>
          <w:lang w:val="en-US"/>
        </w:rPr>
        <w:t>–</w:t>
      </w:r>
      <w:r w:rsidRPr="00763947">
        <w:rPr>
          <w:rFonts w:ascii="Arial" w:hAnsi="Arial" w:cs="Arial"/>
          <w:sz w:val="22"/>
          <w:szCs w:val="22"/>
          <w:lang w:val="en-US"/>
        </w:rPr>
        <w:tab/>
      </w:r>
      <w:proofErr w:type="gramStart"/>
      <w:r w:rsidRPr="00763947">
        <w:rPr>
          <w:rFonts w:ascii="Arial" w:hAnsi="Arial" w:cs="Arial"/>
          <w:sz w:val="22"/>
          <w:szCs w:val="22"/>
          <w:lang w:val="en-US"/>
        </w:rPr>
        <w:t>nominal</w:t>
      </w:r>
      <w:proofErr w:type="gramEnd"/>
      <w:r w:rsidRPr="00763947">
        <w:rPr>
          <w:rFonts w:ascii="Arial" w:hAnsi="Arial" w:cs="Arial"/>
          <w:sz w:val="22"/>
          <w:szCs w:val="22"/>
          <w:lang w:val="en-US"/>
        </w:rPr>
        <w:t xml:space="preserve"> receiver input level.</w:t>
      </w:r>
    </w:p>
    <w:p w:rsidR="002070A6" w:rsidRPr="00763947" w:rsidRDefault="002070A6" w:rsidP="002070A6">
      <w:pPr>
        <w:pStyle w:val="Note"/>
        <w:rPr>
          <w:rFonts w:ascii="Arial" w:hAnsi="Arial" w:cs="Arial"/>
          <w:szCs w:val="22"/>
          <w:lang w:val="en-US"/>
        </w:rPr>
      </w:pPr>
      <w:r w:rsidRPr="00763947">
        <w:rPr>
          <w:rFonts w:ascii="Arial" w:hAnsi="Arial" w:cs="Arial"/>
          <w:szCs w:val="22"/>
          <w:lang w:val="en-US"/>
        </w:rPr>
        <w:t xml:space="preserve">NOTE 1 –  </w:t>
      </w:r>
      <w:r w:rsidR="00644EB5" w:rsidRPr="00763947">
        <w:rPr>
          <w:rFonts w:ascii="Arial" w:hAnsi="Arial" w:cs="Arial"/>
          <w:szCs w:val="22"/>
          <w:lang w:val="en-US"/>
        </w:rPr>
        <w:t>F</w:t>
      </w:r>
      <w:r w:rsidRPr="00763947">
        <w:rPr>
          <w:rFonts w:ascii="Arial" w:hAnsi="Arial" w:cs="Arial"/>
          <w:szCs w:val="22"/>
          <w:lang w:val="en-US"/>
        </w:rPr>
        <w:t xml:space="preserve">or </w:t>
      </w:r>
      <w:proofErr w:type="spellStart"/>
      <w:r w:rsidR="006B1B30" w:rsidRPr="00D428A2">
        <w:rPr>
          <w:rFonts w:ascii="Arial" w:hAnsi="Arial" w:cs="Arial"/>
          <w:szCs w:val="22"/>
          <w:u w:val="single"/>
          <w:lang w:val="en-US"/>
        </w:rPr>
        <w:t>uncoded</w:t>
      </w:r>
      <w:proofErr w:type="spellEnd"/>
      <w:r w:rsidRPr="00763947">
        <w:rPr>
          <w:rFonts w:ascii="Arial" w:hAnsi="Arial" w:cs="Arial"/>
          <w:szCs w:val="22"/>
          <w:lang w:val="en-US"/>
        </w:rPr>
        <w:t xml:space="preserve"> systems the carrier level corresponding to 1 </w:t>
      </w:r>
      <w:r w:rsidRPr="00763947">
        <w:rPr>
          <w:rFonts w:ascii="Arial" w:hAnsi="Arial" w:cs="Arial"/>
          <w:szCs w:val="22"/>
          <w:lang w:val="en-US"/>
        </w:rPr>
        <w:sym w:font="Symbol" w:char="F0B4"/>
      </w:r>
      <w:r w:rsidRPr="00763947">
        <w:rPr>
          <w:rFonts w:ascii="Arial" w:hAnsi="Arial" w:cs="Arial"/>
          <w:szCs w:val="22"/>
          <w:lang w:val="en-US"/>
        </w:rPr>
        <w:t> 10</w:t>
      </w:r>
      <w:r w:rsidRPr="00763947">
        <w:rPr>
          <w:rFonts w:ascii="Arial" w:hAnsi="Arial" w:cs="Arial"/>
          <w:szCs w:val="22"/>
          <w:vertAlign w:val="superscript"/>
          <w:lang w:val="en-US"/>
        </w:rPr>
        <w:t>−6</w:t>
      </w:r>
      <w:r w:rsidRPr="00763947">
        <w:rPr>
          <w:rFonts w:ascii="Arial" w:hAnsi="Arial" w:cs="Arial"/>
          <w:szCs w:val="22"/>
          <w:lang w:val="en-US"/>
        </w:rPr>
        <w:t xml:space="preserve"> BER is </w:t>
      </w:r>
      <w:r w:rsidR="00644EB5" w:rsidRPr="00763947">
        <w:rPr>
          <w:rFonts w:ascii="Arial" w:hAnsi="Arial" w:cs="Arial"/>
          <w:szCs w:val="22"/>
          <w:lang w:val="en-US"/>
        </w:rPr>
        <w:t xml:space="preserve">typically </w:t>
      </w:r>
      <w:r w:rsidRPr="00763947">
        <w:rPr>
          <w:rFonts w:ascii="Arial" w:hAnsi="Arial" w:cs="Arial"/>
          <w:szCs w:val="22"/>
          <w:lang w:val="en-US"/>
        </w:rPr>
        <w:t>around 4 dB higher than  for 1 </w:t>
      </w:r>
      <w:r w:rsidRPr="00763947">
        <w:rPr>
          <w:rFonts w:ascii="Arial" w:hAnsi="Arial" w:cs="Arial"/>
          <w:szCs w:val="22"/>
          <w:lang w:val="en-US"/>
        </w:rPr>
        <w:sym w:font="Symbol" w:char="F0B4"/>
      </w:r>
      <w:r w:rsidRPr="00763947">
        <w:rPr>
          <w:rFonts w:ascii="Arial" w:hAnsi="Arial" w:cs="Arial"/>
          <w:szCs w:val="22"/>
          <w:lang w:val="en-US"/>
        </w:rPr>
        <w:t> 10</w:t>
      </w:r>
      <w:r w:rsidRPr="00763947">
        <w:rPr>
          <w:rFonts w:ascii="Arial" w:hAnsi="Arial" w:cs="Arial"/>
          <w:szCs w:val="22"/>
          <w:vertAlign w:val="superscript"/>
          <w:lang w:val="en-US"/>
        </w:rPr>
        <w:t>–3</w:t>
      </w:r>
      <w:r w:rsidRPr="00763947">
        <w:rPr>
          <w:rFonts w:ascii="Arial" w:hAnsi="Arial" w:cs="Arial"/>
          <w:szCs w:val="22"/>
          <w:lang w:val="en-US"/>
        </w:rPr>
        <w:t xml:space="preserve"> BER</w:t>
      </w:r>
      <w:r w:rsidR="00644EB5" w:rsidRPr="00763947">
        <w:rPr>
          <w:rFonts w:ascii="Arial" w:hAnsi="Arial" w:cs="Arial"/>
          <w:szCs w:val="22"/>
          <w:lang w:val="en-US"/>
        </w:rPr>
        <w:t>.</w:t>
      </w:r>
      <w:r w:rsidRPr="00763947">
        <w:rPr>
          <w:rFonts w:ascii="Arial" w:hAnsi="Arial" w:cs="Arial"/>
          <w:szCs w:val="22"/>
          <w:lang w:val="en-US"/>
        </w:rPr>
        <w:t xml:space="preserve"> </w:t>
      </w:r>
      <w:r w:rsidR="00644EB5" w:rsidRPr="00763947">
        <w:rPr>
          <w:rFonts w:ascii="Arial" w:hAnsi="Arial" w:cs="Arial"/>
          <w:szCs w:val="22"/>
          <w:lang w:val="en-US"/>
        </w:rPr>
        <w:t>T</w:t>
      </w:r>
      <w:r w:rsidRPr="00763947">
        <w:rPr>
          <w:rFonts w:ascii="Arial" w:hAnsi="Arial" w:cs="Arial"/>
          <w:szCs w:val="22"/>
          <w:lang w:val="en-US"/>
        </w:rPr>
        <w:t xml:space="preserve">he carrier level difference </w:t>
      </w:r>
      <w:proofErr w:type="gramStart"/>
      <w:r w:rsidRPr="00763947">
        <w:rPr>
          <w:rFonts w:ascii="Arial" w:hAnsi="Arial" w:cs="Arial"/>
          <w:szCs w:val="22"/>
          <w:lang w:val="en-US"/>
        </w:rPr>
        <w:t>between  1</w:t>
      </w:r>
      <w:proofErr w:type="gramEnd"/>
      <w:r w:rsidRPr="00763947">
        <w:rPr>
          <w:rFonts w:ascii="Arial" w:hAnsi="Arial" w:cs="Arial"/>
          <w:szCs w:val="22"/>
          <w:lang w:val="en-US"/>
        </w:rPr>
        <w:t> </w:t>
      </w:r>
      <w:r w:rsidRPr="00763947">
        <w:rPr>
          <w:rFonts w:ascii="Arial" w:hAnsi="Arial" w:cs="Arial"/>
          <w:szCs w:val="22"/>
          <w:lang w:val="en-US"/>
        </w:rPr>
        <w:sym w:font="Symbol" w:char="F0B4"/>
      </w:r>
      <w:r w:rsidRPr="00763947">
        <w:rPr>
          <w:rFonts w:ascii="Arial" w:hAnsi="Arial" w:cs="Arial"/>
          <w:szCs w:val="22"/>
          <w:lang w:val="en-US"/>
        </w:rPr>
        <w:t> 10</w:t>
      </w:r>
      <w:r w:rsidRPr="00763947">
        <w:rPr>
          <w:rFonts w:ascii="Arial" w:hAnsi="Arial" w:cs="Arial"/>
          <w:szCs w:val="22"/>
          <w:vertAlign w:val="superscript"/>
          <w:lang w:val="en-US"/>
        </w:rPr>
        <w:t>−6</w:t>
      </w:r>
      <w:r w:rsidRPr="00763947">
        <w:rPr>
          <w:rFonts w:ascii="Arial" w:hAnsi="Arial" w:cs="Arial"/>
          <w:szCs w:val="22"/>
          <w:lang w:val="en-US"/>
        </w:rPr>
        <w:t xml:space="preserve"> and 1 </w:t>
      </w:r>
      <w:r w:rsidRPr="00763947">
        <w:rPr>
          <w:rFonts w:ascii="Arial" w:hAnsi="Arial" w:cs="Arial"/>
          <w:szCs w:val="22"/>
          <w:lang w:val="en-US"/>
        </w:rPr>
        <w:sym w:font="Symbol" w:char="F0B4"/>
      </w:r>
      <w:r w:rsidRPr="00763947">
        <w:rPr>
          <w:rFonts w:ascii="Arial" w:hAnsi="Arial" w:cs="Arial"/>
          <w:szCs w:val="22"/>
          <w:lang w:val="en-US"/>
        </w:rPr>
        <w:t> 10</w:t>
      </w:r>
      <w:r w:rsidRPr="00763947">
        <w:rPr>
          <w:rFonts w:ascii="Arial" w:hAnsi="Arial" w:cs="Arial"/>
          <w:szCs w:val="22"/>
          <w:vertAlign w:val="superscript"/>
          <w:lang w:val="en-US"/>
        </w:rPr>
        <w:t>−10</w:t>
      </w:r>
      <w:r w:rsidRPr="00763947">
        <w:rPr>
          <w:rFonts w:ascii="Arial" w:hAnsi="Arial" w:cs="Arial"/>
          <w:szCs w:val="22"/>
          <w:lang w:val="en-US"/>
        </w:rPr>
        <w:t xml:space="preserve"> BER  is also about 4 </w:t>
      </w:r>
      <w:proofErr w:type="spellStart"/>
      <w:r w:rsidRPr="00763947">
        <w:rPr>
          <w:rFonts w:ascii="Arial" w:hAnsi="Arial" w:cs="Arial"/>
          <w:szCs w:val="22"/>
          <w:lang w:val="en-US"/>
        </w:rPr>
        <w:t>dB</w:t>
      </w:r>
      <w:r w:rsidR="00644EB5" w:rsidRPr="00763947">
        <w:rPr>
          <w:rFonts w:ascii="Arial" w:hAnsi="Arial" w:cs="Arial"/>
          <w:szCs w:val="22"/>
          <w:lang w:val="en-US"/>
        </w:rPr>
        <w:t>.</w:t>
      </w:r>
      <w:proofErr w:type="spellEnd"/>
      <w:r w:rsidRPr="00763947">
        <w:rPr>
          <w:rFonts w:ascii="Arial" w:hAnsi="Arial" w:cs="Arial"/>
          <w:szCs w:val="22"/>
          <w:lang w:val="en-US"/>
        </w:rPr>
        <w:t xml:space="preserve"> For radio equipment using </w:t>
      </w:r>
      <w:r w:rsidR="006B1B30" w:rsidRPr="00D428A2">
        <w:rPr>
          <w:rFonts w:ascii="Arial" w:hAnsi="Arial" w:cs="Arial"/>
          <w:szCs w:val="22"/>
          <w:u w:val="single"/>
          <w:lang w:val="en-US"/>
        </w:rPr>
        <w:t>forward error correction (FEC)</w:t>
      </w:r>
      <w:r w:rsidRPr="00763947">
        <w:rPr>
          <w:rFonts w:ascii="Arial" w:hAnsi="Arial" w:cs="Arial"/>
          <w:szCs w:val="22"/>
          <w:lang w:val="en-US"/>
        </w:rPr>
        <w:t xml:space="preserve"> the carrier level corresponding to 1 </w:t>
      </w:r>
      <w:r w:rsidRPr="00763947">
        <w:rPr>
          <w:rFonts w:ascii="Arial" w:hAnsi="Arial" w:cs="Arial"/>
          <w:szCs w:val="22"/>
          <w:lang w:val="en-US"/>
        </w:rPr>
        <w:sym w:font="Symbol" w:char="F0B4"/>
      </w:r>
      <w:r w:rsidRPr="00763947">
        <w:rPr>
          <w:rFonts w:ascii="Arial" w:hAnsi="Arial" w:cs="Arial"/>
          <w:szCs w:val="22"/>
          <w:lang w:val="en-US"/>
        </w:rPr>
        <w:t> 10</w:t>
      </w:r>
      <w:r w:rsidRPr="00763947">
        <w:rPr>
          <w:rFonts w:ascii="Arial" w:hAnsi="Arial" w:cs="Arial"/>
          <w:szCs w:val="22"/>
          <w:vertAlign w:val="superscript"/>
          <w:lang w:val="en-US"/>
        </w:rPr>
        <w:t>−6</w:t>
      </w:r>
      <w:r w:rsidRPr="00763947">
        <w:rPr>
          <w:rFonts w:ascii="Arial" w:hAnsi="Arial" w:cs="Arial"/>
          <w:szCs w:val="22"/>
          <w:lang w:val="en-US"/>
        </w:rPr>
        <w:t xml:space="preserve"> BER is </w:t>
      </w:r>
      <w:r w:rsidR="009C28A8" w:rsidRPr="00763947">
        <w:rPr>
          <w:rFonts w:ascii="Arial" w:hAnsi="Arial" w:cs="Arial"/>
          <w:szCs w:val="22"/>
          <w:lang w:val="en-US"/>
        </w:rPr>
        <w:t xml:space="preserve">only </w:t>
      </w:r>
      <w:r w:rsidRPr="00763947">
        <w:rPr>
          <w:rFonts w:ascii="Arial" w:hAnsi="Arial" w:cs="Arial"/>
          <w:szCs w:val="22"/>
          <w:lang w:val="en-US"/>
        </w:rPr>
        <w:t xml:space="preserve">1 to 2 dB </w:t>
      </w:r>
      <w:r w:rsidRPr="00763947">
        <w:rPr>
          <w:rFonts w:ascii="Arial" w:hAnsi="Arial" w:cs="Arial"/>
          <w:szCs w:val="22"/>
          <w:lang w:val="en-US"/>
        </w:rPr>
        <w:lastRenderedPageBreak/>
        <w:t xml:space="preserve">higher </w:t>
      </w:r>
      <w:proofErr w:type="gramStart"/>
      <w:r w:rsidRPr="00763947">
        <w:rPr>
          <w:rFonts w:ascii="Arial" w:hAnsi="Arial" w:cs="Arial"/>
          <w:szCs w:val="22"/>
          <w:lang w:val="en-US"/>
        </w:rPr>
        <w:t>than  for</w:t>
      </w:r>
      <w:proofErr w:type="gramEnd"/>
      <w:r w:rsidRPr="00763947">
        <w:rPr>
          <w:rFonts w:ascii="Arial" w:hAnsi="Arial" w:cs="Arial"/>
          <w:szCs w:val="22"/>
          <w:lang w:val="en-US"/>
        </w:rPr>
        <w:t xml:space="preserve"> 1 </w:t>
      </w:r>
      <w:r w:rsidRPr="00763947">
        <w:rPr>
          <w:rFonts w:ascii="Arial" w:hAnsi="Arial" w:cs="Arial"/>
          <w:szCs w:val="22"/>
          <w:lang w:val="en-US"/>
        </w:rPr>
        <w:sym w:font="Symbol" w:char="F0B4"/>
      </w:r>
      <w:r w:rsidRPr="00763947">
        <w:rPr>
          <w:rFonts w:ascii="Arial" w:hAnsi="Arial" w:cs="Arial"/>
          <w:szCs w:val="22"/>
          <w:lang w:val="en-US"/>
        </w:rPr>
        <w:t> 10</w:t>
      </w:r>
      <w:r w:rsidRPr="00763947">
        <w:rPr>
          <w:rFonts w:ascii="Arial" w:hAnsi="Arial" w:cs="Arial"/>
          <w:szCs w:val="22"/>
          <w:vertAlign w:val="superscript"/>
          <w:lang w:val="en-US"/>
        </w:rPr>
        <w:t>−3</w:t>
      </w:r>
      <w:r w:rsidRPr="00763947">
        <w:rPr>
          <w:rFonts w:ascii="Arial" w:hAnsi="Arial" w:cs="Arial"/>
          <w:szCs w:val="22"/>
          <w:lang w:val="en-US"/>
        </w:rPr>
        <w:t xml:space="preserve"> BER</w:t>
      </w:r>
      <w:r w:rsidR="009C28A8" w:rsidRPr="00763947">
        <w:rPr>
          <w:rFonts w:ascii="Arial" w:hAnsi="Arial" w:cs="Arial"/>
          <w:szCs w:val="22"/>
          <w:lang w:val="en-US"/>
        </w:rPr>
        <w:t xml:space="preserve"> with similar </w:t>
      </w:r>
      <w:r w:rsidRPr="00763947">
        <w:rPr>
          <w:rFonts w:ascii="Arial" w:hAnsi="Arial" w:cs="Arial"/>
          <w:szCs w:val="22"/>
          <w:lang w:val="en-US"/>
        </w:rPr>
        <w:t xml:space="preserve"> difference </w:t>
      </w:r>
      <w:r w:rsidR="009C28A8" w:rsidRPr="00763947">
        <w:rPr>
          <w:rFonts w:ascii="Arial" w:hAnsi="Arial" w:cs="Arial"/>
          <w:szCs w:val="22"/>
          <w:lang w:val="en-US"/>
        </w:rPr>
        <w:t xml:space="preserve">of 1 to 2 dB </w:t>
      </w:r>
      <w:r w:rsidRPr="00763947">
        <w:rPr>
          <w:rFonts w:ascii="Arial" w:hAnsi="Arial" w:cs="Arial"/>
          <w:szCs w:val="22"/>
          <w:lang w:val="en-US"/>
        </w:rPr>
        <w:t>between 1 </w:t>
      </w:r>
      <w:r w:rsidRPr="00763947">
        <w:rPr>
          <w:rFonts w:ascii="Arial" w:hAnsi="Arial" w:cs="Arial"/>
          <w:szCs w:val="22"/>
          <w:lang w:val="en-US"/>
        </w:rPr>
        <w:sym w:font="Symbol" w:char="F0B4"/>
      </w:r>
      <w:r w:rsidRPr="00763947">
        <w:rPr>
          <w:rFonts w:ascii="Arial" w:hAnsi="Arial" w:cs="Arial"/>
          <w:szCs w:val="22"/>
          <w:lang w:val="en-US"/>
        </w:rPr>
        <w:t> 10</w:t>
      </w:r>
      <w:r w:rsidRPr="00763947">
        <w:rPr>
          <w:rFonts w:ascii="Arial" w:hAnsi="Arial" w:cs="Arial"/>
          <w:szCs w:val="22"/>
          <w:vertAlign w:val="superscript"/>
          <w:lang w:val="en-US"/>
        </w:rPr>
        <w:t>−6</w:t>
      </w:r>
      <w:r w:rsidRPr="00763947">
        <w:rPr>
          <w:rFonts w:ascii="Arial" w:hAnsi="Arial" w:cs="Arial"/>
          <w:szCs w:val="22"/>
          <w:lang w:val="en-US"/>
        </w:rPr>
        <w:t xml:space="preserve"> and 1 </w:t>
      </w:r>
      <w:r w:rsidRPr="00763947">
        <w:rPr>
          <w:rFonts w:ascii="Arial" w:hAnsi="Arial" w:cs="Arial"/>
          <w:szCs w:val="22"/>
          <w:lang w:val="en-US"/>
        </w:rPr>
        <w:sym w:font="Symbol" w:char="F0B4"/>
      </w:r>
      <w:r w:rsidRPr="00763947">
        <w:rPr>
          <w:rFonts w:ascii="Arial" w:hAnsi="Arial" w:cs="Arial"/>
          <w:szCs w:val="22"/>
          <w:lang w:val="en-US"/>
        </w:rPr>
        <w:t> 10</w:t>
      </w:r>
      <w:r w:rsidRPr="00763947">
        <w:rPr>
          <w:rFonts w:ascii="Arial" w:hAnsi="Arial" w:cs="Arial"/>
          <w:szCs w:val="22"/>
          <w:vertAlign w:val="superscript"/>
          <w:lang w:val="en-US"/>
        </w:rPr>
        <w:t>−10</w:t>
      </w:r>
      <w:r w:rsidRPr="00763947">
        <w:rPr>
          <w:rFonts w:ascii="Arial" w:hAnsi="Arial" w:cs="Arial"/>
          <w:szCs w:val="22"/>
          <w:lang w:val="en-US"/>
        </w:rPr>
        <w:t xml:space="preserve"> </w:t>
      </w:r>
      <w:r w:rsidR="009C28A8" w:rsidRPr="00763947">
        <w:rPr>
          <w:rFonts w:ascii="Arial" w:hAnsi="Arial" w:cs="Arial"/>
          <w:szCs w:val="22"/>
          <w:lang w:val="en-US"/>
        </w:rPr>
        <w:t>BER</w:t>
      </w:r>
      <w:r w:rsidRPr="00763947">
        <w:rPr>
          <w:rFonts w:ascii="Arial" w:hAnsi="Arial" w:cs="Arial"/>
          <w:szCs w:val="22"/>
          <w:lang w:val="en-US"/>
        </w:rPr>
        <w:t>. In the following Tables, the received signal power is only addressed</w:t>
      </w:r>
      <w:r w:rsidR="009C28A8" w:rsidRPr="00763947">
        <w:rPr>
          <w:rFonts w:ascii="Arial" w:hAnsi="Arial" w:cs="Arial"/>
          <w:szCs w:val="22"/>
          <w:lang w:val="en-US"/>
        </w:rPr>
        <w:t xml:space="preserve"> for 1 </w:t>
      </w:r>
      <w:r w:rsidR="009C28A8" w:rsidRPr="00763947">
        <w:rPr>
          <w:rFonts w:ascii="Arial" w:hAnsi="Arial" w:cs="Arial"/>
          <w:szCs w:val="22"/>
          <w:lang w:val="en-US"/>
        </w:rPr>
        <w:sym w:font="Symbol" w:char="F0B4"/>
      </w:r>
      <w:r w:rsidR="009C28A8" w:rsidRPr="00763947">
        <w:rPr>
          <w:rFonts w:ascii="Arial" w:hAnsi="Arial" w:cs="Arial"/>
          <w:szCs w:val="22"/>
          <w:lang w:val="en-US"/>
        </w:rPr>
        <w:t> 10</w:t>
      </w:r>
      <w:r w:rsidR="009C28A8" w:rsidRPr="00763947">
        <w:rPr>
          <w:rFonts w:ascii="Arial" w:hAnsi="Arial" w:cs="Arial"/>
          <w:szCs w:val="22"/>
          <w:vertAlign w:val="superscript"/>
          <w:lang w:val="en-US"/>
        </w:rPr>
        <w:t>−6</w:t>
      </w:r>
      <w:r w:rsidR="009C28A8" w:rsidRPr="00763947">
        <w:rPr>
          <w:rFonts w:ascii="Arial" w:hAnsi="Arial" w:cs="Arial"/>
          <w:szCs w:val="22"/>
          <w:lang w:val="en-US"/>
        </w:rPr>
        <w:t xml:space="preserve"> BER</w:t>
      </w:r>
      <w:r w:rsidRPr="00763947">
        <w:rPr>
          <w:rFonts w:ascii="Arial" w:hAnsi="Arial" w:cs="Arial"/>
          <w:szCs w:val="22"/>
          <w:lang w:val="en-US"/>
        </w:rPr>
        <w:t xml:space="preserve">, since the corresponding parameters for other BERs could be theoretically derived </w:t>
      </w:r>
      <w:r w:rsidR="009C28A8" w:rsidRPr="00763947">
        <w:rPr>
          <w:rFonts w:ascii="Arial" w:hAnsi="Arial" w:cs="Arial"/>
          <w:szCs w:val="22"/>
          <w:lang w:val="en-US"/>
        </w:rPr>
        <w:t xml:space="preserve">by </w:t>
      </w:r>
      <w:proofErr w:type="gramStart"/>
      <w:r w:rsidR="009C28A8" w:rsidRPr="00763947">
        <w:rPr>
          <w:rFonts w:ascii="Arial" w:hAnsi="Arial" w:cs="Arial"/>
          <w:szCs w:val="22"/>
          <w:lang w:val="en-US"/>
        </w:rPr>
        <w:t xml:space="preserve">taking </w:t>
      </w:r>
      <w:r w:rsidRPr="00763947">
        <w:rPr>
          <w:rFonts w:ascii="Arial" w:hAnsi="Arial" w:cs="Arial"/>
          <w:szCs w:val="22"/>
          <w:lang w:val="en-US"/>
        </w:rPr>
        <w:t xml:space="preserve"> modulation</w:t>
      </w:r>
      <w:proofErr w:type="gramEnd"/>
      <w:r w:rsidRPr="00763947">
        <w:rPr>
          <w:rFonts w:ascii="Arial" w:hAnsi="Arial" w:cs="Arial"/>
          <w:szCs w:val="22"/>
          <w:lang w:val="en-US"/>
        </w:rPr>
        <w:t xml:space="preserve"> scheme </w:t>
      </w:r>
      <w:r w:rsidR="009C28A8" w:rsidRPr="00763947">
        <w:rPr>
          <w:rFonts w:ascii="Arial" w:hAnsi="Arial" w:cs="Arial"/>
          <w:szCs w:val="22"/>
          <w:lang w:val="en-US"/>
        </w:rPr>
        <w:t>and</w:t>
      </w:r>
      <w:r w:rsidRPr="00763947">
        <w:rPr>
          <w:rFonts w:ascii="Arial" w:hAnsi="Arial" w:cs="Arial"/>
          <w:szCs w:val="22"/>
          <w:lang w:val="en-US"/>
        </w:rPr>
        <w:t xml:space="preserve"> error correction </w:t>
      </w:r>
      <w:r w:rsidR="00F13672" w:rsidRPr="00763947">
        <w:rPr>
          <w:rFonts w:ascii="Arial" w:hAnsi="Arial" w:cs="Arial"/>
          <w:szCs w:val="22"/>
          <w:lang w:val="en-US"/>
        </w:rPr>
        <w:t>gain by coding  into account</w:t>
      </w:r>
      <w:r w:rsidRPr="00763947">
        <w:rPr>
          <w:rFonts w:ascii="Arial" w:hAnsi="Arial" w:cs="Arial"/>
          <w:szCs w:val="22"/>
          <w:lang w:val="en-US"/>
        </w:rPr>
        <w:t>.</w:t>
      </w:r>
    </w:p>
    <w:p w:rsidR="002070A6" w:rsidRPr="00763947" w:rsidRDefault="002070A6" w:rsidP="002070A6">
      <w:pPr>
        <w:pStyle w:val="Cmsor2"/>
        <w:ind w:firstLine="0"/>
        <w:rPr>
          <w:rFonts w:ascii="Arial" w:hAnsi="Arial" w:cs="Arial"/>
          <w:sz w:val="22"/>
          <w:szCs w:val="22"/>
          <w:lang w:val="en-US"/>
        </w:rPr>
      </w:pPr>
      <w:bookmarkStart w:id="4" w:name="_Toc105236013"/>
      <w:bookmarkStart w:id="5" w:name="_Toc107644718"/>
      <w:r w:rsidRPr="00763947">
        <w:rPr>
          <w:rFonts w:ascii="Arial" w:hAnsi="Arial" w:cs="Arial"/>
          <w:sz w:val="22"/>
          <w:szCs w:val="22"/>
          <w:lang w:val="en-US"/>
        </w:rPr>
        <w:t>3.2. Permitted interference</w:t>
      </w:r>
      <w:bookmarkEnd w:id="4"/>
      <w:bookmarkEnd w:id="5"/>
    </w:p>
    <w:p w:rsidR="002070A6" w:rsidRPr="00763947" w:rsidRDefault="002070A6" w:rsidP="002070A6">
      <w:pPr>
        <w:rPr>
          <w:rFonts w:ascii="Arial" w:hAnsi="Arial" w:cs="Arial"/>
          <w:sz w:val="22"/>
          <w:szCs w:val="22"/>
          <w:lang w:val="en-US"/>
        </w:rPr>
      </w:pPr>
      <w:r w:rsidRPr="00763947">
        <w:rPr>
          <w:rFonts w:ascii="Arial" w:hAnsi="Arial" w:cs="Arial"/>
          <w:sz w:val="22"/>
          <w:szCs w:val="22"/>
          <w:lang w:val="en-US"/>
        </w:rPr>
        <w:t xml:space="preserve">It is necessary to specify maximum interference levels for both long- and short-term time. </w:t>
      </w:r>
      <w:r w:rsidR="00046036" w:rsidRPr="00763947">
        <w:rPr>
          <w:rFonts w:ascii="Arial" w:hAnsi="Arial" w:cs="Arial"/>
          <w:sz w:val="22"/>
          <w:szCs w:val="22"/>
          <w:lang w:val="en-US"/>
        </w:rPr>
        <w:t>For</w:t>
      </w:r>
      <w:r w:rsidRPr="00763947">
        <w:rPr>
          <w:rFonts w:ascii="Arial" w:hAnsi="Arial" w:cs="Arial"/>
          <w:sz w:val="22"/>
          <w:szCs w:val="22"/>
          <w:lang w:val="en-US"/>
        </w:rPr>
        <w:t xml:space="preserve">e aggregate long-term </w:t>
      </w:r>
      <w:proofErr w:type="gramStart"/>
      <w:r w:rsidRPr="00763947">
        <w:rPr>
          <w:rFonts w:ascii="Arial" w:hAnsi="Arial" w:cs="Arial"/>
          <w:sz w:val="22"/>
          <w:szCs w:val="22"/>
          <w:lang w:val="en-US"/>
        </w:rPr>
        <w:t xml:space="preserve">interference  </w:t>
      </w:r>
      <w:r w:rsidR="00046036" w:rsidRPr="00763947">
        <w:rPr>
          <w:rFonts w:ascii="Arial" w:hAnsi="Arial" w:cs="Arial"/>
          <w:sz w:val="22"/>
          <w:szCs w:val="22"/>
          <w:lang w:val="en-US"/>
        </w:rPr>
        <w:t>assessment</w:t>
      </w:r>
      <w:proofErr w:type="gramEnd"/>
      <w:r w:rsidR="00046036" w:rsidRPr="00763947">
        <w:rPr>
          <w:rFonts w:ascii="Arial" w:hAnsi="Arial" w:cs="Arial"/>
          <w:sz w:val="22"/>
          <w:szCs w:val="22"/>
          <w:lang w:val="en-US"/>
        </w:rPr>
        <w:t xml:space="preserve"> </w:t>
      </w:r>
      <w:r w:rsidRPr="00763947">
        <w:rPr>
          <w:rFonts w:ascii="Arial" w:hAnsi="Arial" w:cs="Arial"/>
          <w:sz w:val="22"/>
          <w:szCs w:val="22"/>
          <w:lang w:val="en-US"/>
        </w:rPr>
        <w:t>interference from multiple sources can simultaneously occur</w:t>
      </w:r>
      <w:r w:rsidR="00046036" w:rsidRPr="00763947">
        <w:rPr>
          <w:rFonts w:ascii="Arial" w:hAnsi="Arial" w:cs="Arial"/>
          <w:sz w:val="22"/>
          <w:szCs w:val="22"/>
          <w:lang w:val="en-US"/>
        </w:rPr>
        <w:t>. I</w:t>
      </w:r>
      <w:r w:rsidRPr="00763947">
        <w:rPr>
          <w:rFonts w:ascii="Arial" w:hAnsi="Arial" w:cs="Arial"/>
          <w:sz w:val="22"/>
          <w:szCs w:val="22"/>
          <w:lang w:val="en-US"/>
        </w:rPr>
        <w:t>t should be noted</w:t>
      </w:r>
      <w:r w:rsidR="00046036" w:rsidRPr="00763947">
        <w:rPr>
          <w:rFonts w:ascii="Arial" w:hAnsi="Arial" w:cs="Arial"/>
          <w:sz w:val="22"/>
          <w:szCs w:val="22"/>
          <w:lang w:val="en-US"/>
        </w:rPr>
        <w:t>,</w:t>
      </w:r>
      <w:r w:rsidRPr="00763947">
        <w:rPr>
          <w:rFonts w:ascii="Arial" w:hAnsi="Arial" w:cs="Arial"/>
          <w:sz w:val="22"/>
          <w:szCs w:val="22"/>
          <w:lang w:val="en-US"/>
        </w:rPr>
        <w:t xml:space="preserve"> that single-entry interference criteria will be correspondingly lower. In the case of short-term interference, the time percentages of interest will be related to the system performance objectives.</w:t>
      </w:r>
    </w:p>
    <w:p w:rsidR="002070A6" w:rsidRPr="00763947" w:rsidRDefault="002070A6" w:rsidP="002070A6">
      <w:pPr>
        <w:ind w:left="1134"/>
        <w:rPr>
          <w:rFonts w:ascii="Arial" w:hAnsi="Arial" w:cs="Arial"/>
          <w:b/>
          <w:color w:val="000000" w:themeColor="text1"/>
          <w:sz w:val="22"/>
          <w:szCs w:val="22"/>
          <w:lang w:val="en-US"/>
        </w:rPr>
      </w:pPr>
      <w:bookmarkStart w:id="6" w:name="_Toc105236014"/>
      <w:bookmarkStart w:id="7" w:name="_Toc107644719"/>
      <w:r w:rsidRPr="00763947">
        <w:rPr>
          <w:rFonts w:ascii="Arial" w:hAnsi="Arial" w:cs="Arial"/>
          <w:b/>
          <w:color w:val="000000" w:themeColor="text1"/>
          <w:sz w:val="22"/>
          <w:szCs w:val="22"/>
          <w:lang w:val="en-US"/>
        </w:rPr>
        <w:t>4. Tables of system parameters</w:t>
      </w:r>
      <w:bookmarkEnd w:id="6"/>
      <w:bookmarkEnd w:id="7"/>
    </w:p>
    <w:p w:rsidR="002070A6" w:rsidRPr="00763947" w:rsidRDefault="00D815B8" w:rsidP="002070A6">
      <w:pPr>
        <w:rPr>
          <w:rFonts w:ascii="Arial" w:hAnsi="Arial" w:cs="Arial"/>
          <w:sz w:val="22"/>
          <w:szCs w:val="22"/>
          <w:lang w:val="en-US" w:eastAsia="ja-JP"/>
        </w:rPr>
      </w:pPr>
      <w:proofErr w:type="gramStart"/>
      <w:r w:rsidRPr="00763947">
        <w:rPr>
          <w:rFonts w:ascii="Arial" w:hAnsi="Arial" w:cs="Arial"/>
          <w:sz w:val="22"/>
          <w:szCs w:val="22"/>
          <w:lang w:val="en-US"/>
        </w:rPr>
        <w:t xml:space="preserve">Tables </w:t>
      </w:r>
      <w:r w:rsidR="00EE04E6">
        <w:rPr>
          <w:rFonts w:ascii="Arial" w:hAnsi="Arial" w:cs="Arial"/>
          <w:sz w:val="22"/>
          <w:szCs w:val="22"/>
          <w:lang w:val="en-US"/>
        </w:rPr>
        <w:t>1</w:t>
      </w:r>
      <w:r w:rsidRPr="00763947">
        <w:rPr>
          <w:rFonts w:ascii="Arial" w:hAnsi="Arial" w:cs="Arial"/>
          <w:sz w:val="22"/>
          <w:szCs w:val="22"/>
          <w:lang w:val="en-US"/>
        </w:rPr>
        <w:t xml:space="preserve"> in Appendix 1 to </w:t>
      </w:r>
      <w:r w:rsidR="006B1B30" w:rsidRPr="00D428A2">
        <w:rPr>
          <w:rFonts w:ascii="Arial" w:hAnsi="Arial" w:cs="Arial"/>
          <w:sz w:val="22"/>
          <w:szCs w:val="22"/>
          <w:lang w:val="en-US"/>
        </w:rPr>
        <w:t>An</w:t>
      </w:r>
      <w:r w:rsidRPr="00763947">
        <w:rPr>
          <w:rFonts w:ascii="Arial" w:hAnsi="Arial" w:cs="Arial"/>
          <w:sz w:val="22"/>
          <w:szCs w:val="22"/>
          <w:lang w:val="en-US"/>
        </w:rPr>
        <w:t>nex 2.1 show representative parameter values to be used</w:t>
      </w:r>
      <w:r w:rsidR="002070A6" w:rsidRPr="00763947">
        <w:rPr>
          <w:rFonts w:ascii="Arial" w:hAnsi="Arial" w:cs="Arial"/>
          <w:sz w:val="22"/>
          <w:szCs w:val="22"/>
          <w:lang w:val="en-US"/>
        </w:rPr>
        <w:t xml:space="preserve"> in studies of sharing/compatibility for digital FWS that are used in various frequency bands.</w:t>
      </w:r>
      <w:proofErr w:type="gramEnd"/>
    </w:p>
    <w:p w:rsidR="002070A6" w:rsidRPr="00763947" w:rsidRDefault="002070A6" w:rsidP="002070A6">
      <w:pPr>
        <w:rPr>
          <w:rFonts w:ascii="Arial" w:hAnsi="Arial" w:cs="Arial"/>
          <w:sz w:val="22"/>
          <w:szCs w:val="22"/>
          <w:lang w:val="en-US" w:eastAsia="ja-JP"/>
        </w:rPr>
      </w:pPr>
      <w:r w:rsidRPr="00763947">
        <w:rPr>
          <w:rFonts w:ascii="Arial" w:hAnsi="Arial" w:cs="Arial"/>
          <w:sz w:val="22"/>
          <w:szCs w:val="22"/>
          <w:lang w:val="en-US"/>
        </w:rPr>
        <w:t xml:space="preserve">In most of the bands a large variety </w:t>
      </w:r>
      <w:r w:rsidR="00046036" w:rsidRPr="00763947">
        <w:rPr>
          <w:rFonts w:ascii="Arial" w:hAnsi="Arial" w:cs="Arial"/>
          <w:sz w:val="22"/>
          <w:szCs w:val="22"/>
          <w:lang w:val="en-US"/>
        </w:rPr>
        <w:t xml:space="preserve">of FWS </w:t>
      </w:r>
      <w:proofErr w:type="spellStart"/>
      <w:r w:rsidR="00046036" w:rsidRPr="00763947">
        <w:rPr>
          <w:rFonts w:ascii="Arial" w:hAnsi="Arial" w:cs="Arial"/>
          <w:sz w:val="22"/>
          <w:szCs w:val="22"/>
          <w:lang w:val="en-US"/>
        </w:rPr>
        <w:t>expecially</w:t>
      </w:r>
      <w:proofErr w:type="spellEnd"/>
      <w:r w:rsidR="00046036" w:rsidRPr="00763947">
        <w:rPr>
          <w:rFonts w:ascii="Arial" w:hAnsi="Arial" w:cs="Arial"/>
          <w:sz w:val="22"/>
          <w:szCs w:val="22"/>
          <w:lang w:val="en-US"/>
        </w:rPr>
        <w:t xml:space="preserve"> with respect </w:t>
      </w:r>
      <w:proofErr w:type="gramStart"/>
      <w:r w:rsidR="00046036" w:rsidRPr="00763947">
        <w:rPr>
          <w:rFonts w:ascii="Arial" w:hAnsi="Arial" w:cs="Arial"/>
          <w:sz w:val="22"/>
          <w:szCs w:val="22"/>
          <w:lang w:val="en-US"/>
        </w:rPr>
        <w:t xml:space="preserve">to </w:t>
      </w:r>
      <w:r w:rsidRPr="00763947">
        <w:rPr>
          <w:rFonts w:ascii="Arial" w:hAnsi="Arial" w:cs="Arial"/>
          <w:sz w:val="22"/>
          <w:szCs w:val="22"/>
          <w:lang w:val="en-US"/>
        </w:rPr>
        <w:t xml:space="preserve"> channel</w:t>
      </w:r>
      <w:proofErr w:type="gramEnd"/>
      <w:r w:rsidRPr="00763947">
        <w:rPr>
          <w:rFonts w:ascii="Arial" w:hAnsi="Arial" w:cs="Arial"/>
          <w:sz w:val="22"/>
          <w:szCs w:val="22"/>
          <w:lang w:val="en-US"/>
        </w:rPr>
        <w:t xml:space="preserve"> spacing and modulation formats </w:t>
      </w:r>
      <w:r w:rsidR="00EA38CC" w:rsidRPr="00763947">
        <w:rPr>
          <w:rFonts w:ascii="Arial" w:hAnsi="Arial" w:cs="Arial"/>
          <w:sz w:val="22"/>
          <w:szCs w:val="22"/>
          <w:lang w:val="en-US"/>
        </w:rPr>
        <w:t xml:space="preserve">are worldwide in operation  </w:t>
      </w:r>
      <w:r w:rsidR="00046036" w:rsidRPr="00763947">
        <w:rPr>
          <w:rFonts w:ascii="Arial" w:hAnsi="Arial" w:cs="Arial"/>
          <w:sz w:val="22"/>
          <w:szCs w:val="22"/>
          <w:lang w:val="en-US"/>
        </w:rPr>
        <w:t>. T</w:t>
      </w:r>
      <w:r w:rsidRPr="00763947">
        <w:rPr>
          <w:rFonts w:ascii="Arial" w:hAnsi="Arial" w:cs="Arial"/>
          <w:sz w:val="22"/>
          <w:szCs w:val="22"/>
          <w:lang w:val="en-US"/>
        </w:rPr>
        <w:t xml:space="preserve">heir </w:t>
      </w:r>
      <w:r w:rsidR="00EA38CC" w:rsidRPr="00763947">
        <w:rPr>
          <w:rFonts w:ascii="Arial" w:hAnsi="Arial" w:cs="Arial"/>
          <w:sz w:val="22"/>
          <w:szCs w:val="22"/>
          <w:lang w:val="en-US"/>
        </w:rPr>
        <w:t xml:space="preserve">specific </w:t>
      </w:r>
      <w:proofErr w:type="gramStart"/>
      <w:r w:rsidR="00EA38CC" w:rsidRPr="00763947">
        <w:rPr>
          <w:rFonts w:ascii="Arial" w:hAnsi="Arial" w:cs="Arial"/>
          <w:sz w:val="22"/>
          <w:szCs w:val="22"/>
          <w:lang w:val="en-US"/>
        </w:rPr>
        <w:t xml:space="preserve">characteristic </w:t>
      </w:r>
      <w:r w:rsidRPr="00763947">
        <w:rPr>
          <w:rFonts w:ascii="Arial" w:hAnsi="Arial" w:cs="Arial"/>
          <w:sz w:val="22"/>
          <w:szCs w:val="22"/>
          <w:lang w:val="en-US"/>
        </w:rPr>
        <w:t xml:space="preserve"> in</w:t>
      </w:r>
      <w:proofErr w:type="gramEnd"/>
      <w:r w:rsidRPr="00763947">
        <w:rPr>
          <w:rFonts w:ascii="Arial" w:hAnsi="Arial" w:cs="Arial"/>
          <w:sz w:val="22"/>
          <w:szCs w:val="22"/>
          <w:lang w:val="en-US"/>
        </w:rPr>
        <w:t xml:space="preserve"> a geographical area depends on regional and national allocations and needs. Therefore the system parameters shown are not representative </w:t>
      </w:r>
      <w:r w:rsidR="00EA38CC" w:rsidRPr="00763947">
        <w:rPr>
          <w:rFonts w:ascii="Arial" w:hAnsi="Arial" w:cs="Arial"/>
          <w:sz w:val="22"/>
          <w:szCs w:val="22"/>
          <w:lang w:val="en-US"/>
        </w:rPr>
        <w:t>for</w:t>
      </w:r>
      <w:r w:rsidRPr="00763947">
        <w:rPr>
          <w:rFonts w:ascii="Arial" w:hAnsi="Arial" w:cs="Arial"/>
          <w:sz w:val="22"/>
          <w:szCs w:val="22"/>
          <w:lang w:val="en-US"/>
        </w:rPr>
        <w:t xml:space="preserve"> any actual FS system, but represent an averaging or an expected range of values suitable for generic sharing/compatibility studies</w:t>
      </w:r>
      <w:r w:rsidRPr="00763947">
        <w:rPr>
          <w:rFonts w:ascii="Arial" w:hAnsi="Arial" w:cs="Arial"/>
          <w:sz w:val="22"/>
          <w:szCs w:val="22"/>
          <w:lang w:val="en-US" w:eastAsia="ja-JP"/>
        </w:rPr>
        <w:t>.</w:t>
      </w:r>
    </w:p>
    <w:p w:rsidR="002070A6" w:rsidRPr="00763947" w:rsidRDefault="002070A6" w:rsidP="002070A6">
      <w:pPr>
        <w:pStyle w:val="Cmsor2"/>
        <w:ind w:firstLine="0"/>
        <w:rPr>
          <w:rFonts w:ascii="Arial" w:hAnsi="Arial" w:cs="Arial"/>
          <w:sz w:val="22"/>
          <w:szCs w:val="22"/>
          <w:lang w:val="en-US"/>
        </w:rPr>
      </w:pPr>
      <w:r w:rsidRPr="00763947">
        <w:rPr>
          <w:rFonts w:ascii="Arial" w:hAnsi="Arial" w:cs="Arial"/>
          <w:sz w:val="22"/>
          <w:szCs w:val="22"/>
          <w:lang w:val="en-US"/>
        </w:rPr>
        <w:t>4.1. Nominal long-term interference power density (</w:t>
      </w:r>
      <w:proofErr w:type="spellStart"/>
      <w:r w:rsidRPr="00763947">
        <w:rPr>
          <w:rFonts w:ascii="Arial" w:hAnsi="Arial" w:cs="Arial"/>
          <w:sz w:val="22"/>
          <w:szCs w:val="22"/>
          <w:lang w:val="en-US"/>
        </w:rPr>
        <w:t>dBW</w:t>
      </w:r>
      <w:proofErr w:type="spellEnd"/>
      <w:r w:rsidRPr="00763947">
        <w:rPr>
          <w:rFonts w:ascii="Arial" w:hAnsi="Arial" w:cs="Arial"/>
          <w:sz w:val="22"/>
          <w:szCs w:val="22"/>
          <w:lang w:val="en-US"/>
        </w:rPr>
        <w:t>/MHz)</w:t>
      </w:r>
    </w:p>
    <w:p w:rsidR="00EE04E6" w:rsidRPr="00EE04E6" w:rsidRDefault="00EE04E6" w:rsidP="00EE04E6">
      <w:pPr>
        <w:rPr>
          <w:rFonts w:ascii="Arial" w:hAnsi="Arial" w:cs="Arial"/>
          <w:sz w:val="22"/>
          <w:szCs w:val="22"/>
          <w:lang w:val="en-US"/>
        </w:rPr>
      </w:pPr>
      <w:r w:rsidRPr="00EE04E6">
        <w:rPr>
          <w:rFonts w:ascii="Arial" w:hAnsi="Arial" w:cs="Arial"/>
          <w:sz w:val="22"/>
          <w:szCs w:val="22"/>
          <w:lang w:val="en-US"/>
        </w:rPr>
        <w:t xml:space="preserve">Recommendation ITU-R F.1094 lays the foundations for the apportionment of EPO and APO. </w:t>
      </w:r>
    </w:p>
    <w:p w:rsidR="00EE04E6" w:rsidRPr="00EE04E6" w:rsidRDefault="00EE04E6" w:rsidP="00EE04E6">
      <w:pPr>
        <w:rPr>
          <w:rFonts w:ascii="Arial" w:hAnsi="Arial" w:cs="Arial"/>
          <w:sz w:val="22"/>
          <w:szCs w:val="22"/>
          <w:lang w:val="en-US"/>
        </w:rPr>
      </w:pPr>
      <w:r w:rsidRPr="00EE04E6">
        <w:rPr>
          <w:rFonts w:ascii="Arial" w:hAnsi="Arial" w:cs="Arial"/>
          <w:sz w:val="22"/>
          <w:szCs w:val="22"/>
          <w:lang w:val="en-US"/>
        </w:rPr>
        <w:t>In this section, relations between the following two issues a) and b) are considered with the exclusion of short-term interference considerations:</w:t>
      </w:r>
    </w:p>
    <w:p w:rsidR="00EE04E6" w:rsidRPr="00EE04E6" w:rsidRDefault="00EE04E6" w:rsidP="00EE04E6">
      <w:pPr>
        <w:pStyle w:val="enumlev1"/>
        <w:rPr>
          <w:rFonts w:ascii="Arial" w:hAnsi="Arial" w:cs="Arial"/>
          <w:sz w:val="22"/>
          <w:szCs w:val="22"/>
          <w:lang w:val="en-US"/>
        </w:rPr>
      </w:pPr>
      <w:r w:rsidRPr="00EE04E6">
        <w:rPr>
          <w:rFonts w:ascii="Arial" w:hAnsi="Arial" w:cs="Arial"/>
          <w:sz w:val="22"/>
          <w:szCs w:val="22"/>
          <w:lang w:val="en-US"/>
        </w:rPr>
        <w:t>a)</w:t>
      </w:r>
      <w:r w:rsidRPr="00EE04E6">
        <w:rPr>
          <w:rFonts w:ascii="Arial" w:hAnsi="Arial" w:cs="Arial"/>
          <w:sz w:val="22"/>
          <w:szCs w:val="22"/>
          <w:lang w:val="en-US"/>
        </w:rPr>
        <w:tab/>
        <w:t>Degradation in the error performance (EP) or the availability performance (AP) resulting from interference from the co-primary service, which is clearly specified as 10% in Recommendation ITU-R F.1094 (and also in Recommendation ITU-R F.1565).</w:t>
      </w:r>
    </w:p>
    <w:p w:rsidR="00EE04E6" w:rsidRPr="00EE04E6" w:rsidRDefault="00EE04E6" w:rsidP="00EE04E6">
      <w:pPr>
        <w:pStyle w:val="enumlev1"/>
        <w:rPr>
          <w:rFonts w:ascii="Arial" w:hAnsi="Arial" w:cs="Arial"/>
          <w:sz w:val="22"/>
          <w:szCs w:val="22"/>
          <w:lang w:val="en-US" w:eastAsia="ja-JP"/>
        </w:rPr>
      </w:pPr>
      <w:r w:rsidRPr="00EE04E6">
        <w:rPr>
          <w:rFonts w:ascii="Arial" w:hAnsi="Arial" w:cs="Arial"/>
          <w:sz w:val="22"/>
          <w:szCs w:val="22"/>
          <w:lang w:val="en-US"/>
        </w:rPr>
        <w:t>b)</w:t>
      </w:r>
      <w:r w:rsidRPr="00EE04E6">
        <w:rPr>
          <w:rFonts w:ascii="Arial" w:hAnsi="Arial" w:cs="Arial"/>
          <w:sz w:val="22"/>
          <w:szCs w:val="22"/>
          <w:lang w:val="en-US"/>
        </w:rPr>
        <w:tab/>
        <w:t>Degradation in fade margin due to the interference, which is directly calculated from (</w:t>
      </w:r>
      <w:r w:rsidRPr="00EE04E6">
        <w:rPr>
          <w:rFonts w:ascii="Arial" w:hAnsi="Arial" w:cs="Arial"/>
          <w:i/>
          <w:sz w:val="22"/>
          <w:szCs w:val="22"/>
          <w:lang w:val="en-US"/>
        </w:rPr>
        <w:t>I</w:t>
      </w:r>
      <w:r w:rsidRPr="00EE04E6">
        <w:rPr>
          <w:rFonts w:ascii="Arial" w:hAnsi="Arial" w:cs="Arial"/>
          <w:sz w:val="22"/>
          <w:szCs w:val="22"/>
          <w:lang w:val="en-US"/>
        </w:rPr>
        <w:t>/</w:t>
      </w:r>
      <w:r w:rsidRPr="00EE04E6">
        <w:rPr>
          <w:rFonts w:ascii="Arial" w:hAnsi="Arial" w:cs="Arial"/>
          <w:i/>
          <w:sz w:val="22"/>
          <w:szCs w:val="22"/>
          <w:lang w:val="en-US"/>
        </w:rPr>
        <w:t>N</w:t>
      </w:r>
      <w:r w:rsidRPr="00EE04E6">
        <w:rPr>
          <w:rFonts w:ascii="Arial" w:hAnsi="Arial" w:cs="Arial"/>
          <w:sz w:val="22"/>
          <w:szCs w:val="22"/>
          <w:lang w:val="en-US"/>
        </w:rPr>
        <w:t>) value, as 10 log ((</w:t>
      </w:r>
      <w:r w:rsidRPr="00EE04E6">
        <w:rPr>
          <w:rFonts w:ascii="Arial" w:hAnsi="Arial" w:cs="Arial"/>
          <w:i/>
          <w:sz w:val="22"/>
          <w:szCs w:val="22"/>
          <w:lang w:val="en-US"/>
        </w:rPr>
        <w:t>N </w:t>
      </w:r>
      <w:r w:rsidRPr="00EE04E6">
        <w:rPr>
          <w:rFonts w:ascii="Arial" w:hAnsi="Arial" w:cs="Arial"/>
          <w:sz w:val="22"/>
          <w:szCs w:val="22"/>
          <w:lang w:val="en-US"/>
        </w:rPr>
        <w:t>+ </w:t>
      </w:r>
      <w:r w:rsidRPr="00EE04E6">
        <w:rPr>
          <w:rFonts w:ascii="Arial" w:hAnsi="Arial" w:cs="Arial"/>
          <w:i/>
          <w:sz w:val="22"/>
          <w:szCs w:val="22"/>
          <w:lang w:val="en-US"/>
        </w:rPr>
        <w:t>I</w:t>
      </w:r>
      <w:r w:rsidRPr="00EE04E6">
        <w:rPr>
          <w:rFonts w:ascii="Arial" w:hAnsi="Arial" w:cs="Arial"/>
          <w:sz w:val="22"/>
          <w:szCs w:val="22"/>
          <w:lang w:val="en-US"/>
        </w:rPr>
        <w:t>)/</w:t>
      </w:r>
      <w:r w:rsidRPr="00EE04E6">
        <w:rPr>
          <w:rFonts w:ascii="Arial" w:hAnsi="Arial" w:cs="Arial"/>
          <w:i/>
          <w:sz w:val="22"/>
          <w:szCs w:val="22"/>
          <w:lang w:val="en-US"/>
        </w:rPr>
        <w:t>N</w:t>
      </w:r>
      <w:r w:rsidRPr="00EE04E6">
        <w:rPr>
          <w:rFonts w:ascii="Arial" w:hAnsi="Arial" w:cs="Arial"/>
          <w:sz w:val="22"/>
          <w:szCs w:val="22"/>
          <w:lang w:val="en-US" w:eastAsia="ja-JP"/>
        </w:rPr>
        <w:t>)</w:t>
      </w:r>
      <w:r w:rsidRPr="00EE04E6">
        <w:rPr>
          <w:rFonts w:ascii="Arial" w:hAnsi="Arial" w:cs="Arial"/>
          <w:sz w:val="22"/>
          <w:szCs w:val="22"/>
          <w:lang w:val="en-US"/>
        </w:rPr>
        <w:t xml:space="preserve"> = 10 log ((1 + (</w:t>
      </w:r>
      <w:r w:rsidRPr="00EE04E6">
        <w:rPr>
          <w:rFonts w:ascii="Arial" w:hAnsi="Arial" w:cs="Arial"/>
          <w:i/>
          <w:sz w:val="22"/>
          <w:szCs w:val="22"/>
          <w:lang w:val="en-US"/>
        </w:rPr>
        <w:t>I</w:t>
      </w:r>
      <w:r w:rsidRPr="00EE04E6">
        <w:rPr>
          <w:rFonts w:ascii="Arial" w:hAnsi="Arial" w:cs="Arial"/>
          <w:sz w:val="22"/>
          <w:szCs w:val="22"/>
          <w:lang w:val="en-US"/>
        </w:rPr>
        <w:t>/</w:t>
      </w:r>
      <w:r w:rsidRPr="00EE04E6">
        <w:rPr>
          <w:rFonts w:ascii="Arial" w:hAnsi="Arial" w:cs="Arial"/>
          <w:i/>
          <w:sz w:val="22"/>
          <w:szCs w:val="22"/>
          <w:lang w:val="en-US"/>
        </w:rPr>
        <w:t>N</w:t>
      </w:r>
      <w:r w:rsidRPr="00EE04E6">
        <w:rPr>
          <w:rFonts w:ascii="Arial" w:hAnsi="Arial" w:cs="Arial"/>
          <w:sz w:val="22"/>
          <w:szCs w:val="22"/>
          <w:lang w:val="en-US"/>
        </w:rPr>
        <w:t>))) (dB).</w:t>
      </w:r>
    </w:p>
    <w:p w:rsidR="00EE04E6" w:rsidRPr="00EE04E6" w:rsidRDefault="00EE04E6" w:rsidP="00EE04E6">
      <w:pPr>
        <w:rPr>
          <w:rFonts w:ascii="Arial" w:hAnsi="Arial" w:cs="Arial"/>
          <w:sz w:val="22"/>
          <w:szCs w:val="22"/>
          <w:lang w:val="en-US" w:eastAsia="ja-JP"/>
        </w:rPr>
      </w:pPr>
      <w:r w:rsidRPr="00EE04E6">
        <w:rPr>
          <w:rFonts w:ascii="Arial" w:hAnsi="Arial" w:cs="Arial"/>
          <w:sz w:val="22"/>
          <w:szCs w:val="22"/>
          <w:lang w:val="en-US" w:eastAsia="ja-JP"/>
        </w:rPr>
        <w:t xml:space="preserve">It should be noted that the </w:t>
      </w:r>
      <w:r w:rsidRPr="00EE04E6">
        <w:rPr>
          <w:rFonts w:ascii="Arial" w:hAnsi="Arial" w:cs="Arial"/>
          <w:i/>
          <w:sz w:val="22"/>
          <w:szCs w:val="22"/>
          <w:lang w:val="en-US" w:eastAsia="ja-JP"/>
        </w:rPr>
        <w:t>I</w:t>
      </w:r>
      <w:r w:rsidRPr="00EE04E6">
        <w:rPr>
          <w:rFonts w:ascii="Arial" w:hAnsi="Arial" w:cs="Arial"/>
          <w:sz w:val="22"/>
          <w:szCs w:val="22"/>
          <w:lang w:val="en-US" w:eastAsia="ja-JP"/>
        </w:rPr>
        <w:t>/</w:t>
      </w:r>
      <w:r w:rsidRPr="00EE04E6">
        <w:rPr>
          <w:rFonts w:ascii="Arial" w:hAnsi="Arial" w:cs="Arial"/>
          <w:i/>
          <w:sz w:val="22"/>
          <w:szCs w:val="22"/>
          <w:lang w:val="en-US" w:eastAsia="ja-JP"/>
        </w:rPr>
        <w:t>N</w:t>
      </w:r>
      <w:r w:rsidRPr="00EE04E6">
        <w:rPr>
          <w:rFonts w:ascii="Arial" w:hAnsi="Arial" w:cs="Arial"/>
          <w:sz w:val="22"/>
          <w:szCs w:val="22"/>
          <w:lang w:val="en-US" w:eastAsia="ja-JP"/>
        </w:rPr>
        <w:t xml:space="preserve"> ratio is generally defined in terms of mean (root-mean-square (</w:t>
      </w:r>
      <w:proofErr w:type="spellStart"/>
      <w:r w:rsidRPr="00EE04E6">
        <w:rPr>
          <w:rFonts w:ascii="Arial" w:hAnsi="Arial" w:cs="Arial"/>
          <w:sz w:val="22"/>
          <w:szCs w:val="22"/>
          <w:lang w:val="en-US" w:eastAsia="ja-JP"/>
        </w:rPr>
        <w:t>rms</w:t>
      </w:r>
      <w:proofErr w:type="spellEnd"/>
      <w:r w:rsidRPr="00EE04E6">
        <w:rPr>
          <w:rFonts w:ascii="Arial" w:hAnsi="Arial" w:cs="Arial"/>
          <w:sz w:val="22"/>
          <w:szCs w:val="22"/>
          <w:lang w:val="en-US" w:eastAsia="ja-JP"/>
        </w:rPr>
        <w:t xml:space="preserve">)) power of both noise and interference; however, when continuously pulsed/burst interference emissions are concerned, their peak-to-mean power ratio might play a significant role in defining the protection criteria. </w:t>
      </w:r>
    </w:p>
    <w:p w:rsidR="00EE04E6" w:rsidRPr="00EE04E6" w:rsidRDefault="00EE04E6" w:rsidP="00EE04E6">
      <w:pPr>
        <w:rPr>
          <w:rFonts w:ascii="Arial" w:hAnsi="Arial" w:cs="Arial"/>
          <w:sz w:val="22"/>
          <w:szCs w:val="22"/>
          <w:lang w:val="en-US" w:eastAsia="ja-JP"/>
        </w:rPr>
      </w:pPr>
      <w:r w:rsidRPr="00EE04E6">
        <w:rPr>
          <w:lang w:val="en-US" w:eastAsia="ja-JP"/>
        </w:rPr>
        <w:t xml:space="preserve">When the peak-to-mean power ratio becomes very high and the fixed service receiver </w:t>
      </w:r>
      <w:r w:rsidRPr="00EE04E6">
        <w:rPr>
          <w:rFonts w:ascii="Arial" w:hAnsi="Arial" w:cs="Arial"/>
          <w:sz w:val="22"/>
          <w:szCs w:val="22"/>
          <w:lang w:val="en-US" w:eastAsia="ja-JP"/>
        </w:rPr>
        <w:t xml:space="preserve">bandwidth becomes large, it may be necessary to take into account </w:t>
      </w:r>
      <w:proofErr w:type="gramStart"/>
      <w:r w:rsidRPr="00EE04E6">
        <w:rPr>
          <w:rFonts w:ascii="Arial" w:hAnsi="Arial" w:cs="Arial"/>
          <w:sz w:val="22"/>
          <w:szCs w:val="22"/>
          <w:lang w:val="en-US" w:eastAsia="ja-JP"/>
        </w:rPr>
        <w:t>an</w:t>
      </w:r>
      <w:proofErr w:type="gramEnd"/>
      <w:r w:rsidRPr="00EE04E6">
        <w:rPr>
          <w:rFonts w:ascii="Arial" w:hAnsi="Arial" w:cs="Arial"/>
          <w:i/>
          <w:sz w:val="22"/>
          <w:szCs w:val="22"/>
          <w:lang w:val="en-US" w:eastAsia="ja-JP"/>
        </w:rPr>
        <w:t xml:space="preserve"> I</w:t>
      </w:r>
      <w:r w:rsidRPr="00EE04E6">
        <w:rPr>
          <w:rFonts w:ascii="Arial" w:hAnsi="Arial" w:cs="Arial"/>
          <w:sz w:val="22"/>
          <w:szCs w:val="22"/>
          <w:lang w:val="en-US" w:eastAsia="ja-JP"/>
        </w:rPr>
        <w:t>/</w:t>
      </w:r>
      <w:r w:rsidRPr="00EE04E6">
        <w:rPr>
          <w:rFonts w:ascii="Arial" w:hAnsi="Arial" w:cs="Arial"/>
          <w:i/>
          <w:sz w:val="22"/>
          <w:szCs w:val="22"/>
          <w:lang w:val="en-US" w:eastAsia="ja-JP"/>
        </w:rPr>
        <w:t>N</w:t>
      </w:r>
      <w:r w:rsidRPr="00EE04E6">
        <w:rPr>
          <w:rFonts w:ascii="Arial" w:hAnsi="Arial" w:cs="Arial"/>
          <w:sz w:val="22"/>
          <w:szCs w:val="22"/>
          <w:lang w:val="en-US" w:eastAsia="ja-JP"/>
        </w:rPr>
        <w:t xml:space="preserve"> objective in terms of peak</w:t>
      </w:r>
      <w:r w:rsidRPr="00EE04E6">
        <w:rPr>
          <w:rFonts w:ascii="Arial" w:hAnsi="Arial" w:cs="Arial"/>
          <w:sz w:val="22"/>
          <w:szCs w:val="22"/>
          <w:lang w:val="en-US"/>
        </w:rPr>
        <w:t xml:space="preserve"> </w:t>
      </w:r>
      <w:r w:rsidRPr="00EE04E6">
        <w:rPr>
          <w:rFonts w:ascii="Arial" w:hAnsi="Arial" w:cs="Arial"/>
          <w:sz w:val="22"/>
          <w:szCs w:val="22"/>
          <w:lang w:val="en-US" w:eastAsia="ja-JP"/>
        </w:rPr>
        <w:t>interference integrated over the whole victim bandwidth to correctly evaluate the fade margin degradation due to the interference. Background on high peak interference impact and protection criteria may be found in Recommendation ITU-R F.1097, for radar interference, and Recommendation ITU-R SM.1757, further detailed in Report ITU-R SM.2057, for UWB-SRR (ultra-wideband short-range radars) interference.</w:t>
      </w:r>
    </w:p>
    <w:p w:rsidR="00EE04E6" w:rsidRPr="00EE04E6" w:rsidRDefault="00EE04E6" w:rsidP="00EE04E6">
      <w:pPr>
        <w:rPr>
          <w:rFonts w:ascii="Arial" w:hAnsi="Arial" w:cs="Arial"/>
          <w:sz w:val="22"/>
          <w:szCs w:val="22"/>
          <w:lang w:val="en-US" w:eastAsia="ja-JP"/>
        </w:rPr>
      </w:pPr>
      <w:r w:rsidRPr="00EE04E6">
        <w:rPr>
          <w:rFonts w:ascii="Arial" w:hAnsi="Arial" w:cs="Arial"/>
          <w:sz w:val="22"/>
          <w:szCs w:val="22"/>
          <w:lang w:val="en-US"/>
        </w:rPr>
        <w:t xml:space="preserve">The long-term interference power density given in Tables </w:t>
      </w:r>
      <w:r w:rsidRPr="00EE04E6">
        <w:rPr>
          <w:rFonts w:ascii="Arial" w:hAnsi="Arial" w:cs="Arial"/>
          <w:sz w:val="22"/>
          <w:szCs w:val="22"/>
          <w:lang w:val="en-US" w:eastAsia="ja-JP"/>
        </w:rPr>
        <w:t>5</w:t>
      </w:r>
      <w:r w:rsidRPr="00EE04E6">
        <w:rPr>
          <w:rFonts w:ascii="Arial" w:hAnsi="Arial" w:cs="Arial"/>
          <w:sz w:val="22"/>
          <w:szCs w:val="22"/>
          <w:lang w:val="en-US"/>
        </w:rPr>
        <w:t xml:space="preserve">-12 </w:t>
      </w:r>
      <w:r w:rsidRPr="00EE04E6">
        <w:rPr>
          <w:rFonts w:ascii="Arial" w:hAnsi="Arial" w:cs="Arial"/>
          <w:sz w:val="22"/>
          <w:szCs w:val="22"/>
          <w:lang w:val="en-US" w:eastAsia="ja-JP"/>
        </w:rPr>
        <w:t xml:space="preserve">and Tables 14-17 </w:t>
      </w:r>
      <w:r w:rsidRPr="00EE04E6">
        <w:rPr>
          <w:rFonts w:ascii="Arial" w:hAnsi="Arial" w:cs="Arial"/>
          <w:sz w:val="22"/>
          <w:szCs w:val="22"/>
          <w:lang w:val="en-US"/>
        </w:rPr>
        <w:t xml:space="preserve">is equal to </w:t>
      </w:r>
      <w:r w:rsidRPr="00EE04E6">
        <w:rPr>
          <w:rFonts w:ascii="Arial" w:hAnsi="Arial" w:cs="Arial"/>
          <w:i/>
          <w:iCs/>
          <w:sz w:val="22"/>
          <w:szCs w:val="22"/>
          <w:lang w:val="en-US"/>
        </w:rPr>
        <w:t>N</w:t>
      </w:r>
      <w:r w:rsidRPr="00EE04E6">
        <w:rPr>
          <w:rFonts w:ascii="Arial" w:hAnsi="Arial" w:cs="Arial"/>
          <w:i/>
          <w:iCs/>
          <w:sz w:val="22"/>
          <w:szCs w:val="22"/>
          <w:vertAlign w:val="subscript"/>
          <w:lang w:val="en-US"/>
        </w:rPr>
        <w:t>RX</w:t>
      </w:r>
      <w:r w:rsidRPr="00EE04E6">
        <w:rPr>
          <w:rFonts w:ascii="Arial" w:hAnsi="Arial" w:cs="Arial"/>
          <w:sz w:val="22"/>
          <w:szCs w:val="22"/>
          <w:lang w:val="en-US"/>
        </w:rPr>
        <w:t> + </w:t>
      </w:r>
      <w:r w:rsidRPr="00EE04E6">
        <w:rPr>
          <w:rFonts w:ascii="Arial" w:hAnsi="Arial" w:cs="Arial"/>
          <w:i/>
          <w:iCs/>
          <w:sz w:val="22"/>
          <w:szCs w:val="22"/>
          <w:lang w:val="en-US"/>
        </w:rPr>
        <w:t>I</w:t>
      </w:r>
      <w:r w:rsidRPr="00EE04E6">
        <w:rPr>
          <w:rFonts w:ascii="Arial" w:hAnsi="Arial" w:cs="Arial"/>
          <w:sz w:val="22"/>
          <w:szCs w:val="22"/>
          <w:lang w:val="en-US"/>
        </w:rPr>
        <w:t>/</w:t>
      </w:r>
      <w:r w:rsidRPr="00EE04E6">
        <w:rPr>
          <w:rFonts w:ascii="Arial" w:hAnsi="Arial" w:cs="Arial"/>
          <w:i/>
          <w:iCs/>
          <w:sz w:val="22"/>
          <w:szCs w:val="22"/>
          <w:lang w:val="en-US"/>
        </w:rPr>
        <w:t>N</w:t>
      </w:r>
      <w:r w:rsidRPr="00EE04E6">
        <w:rPr>
          <w:rFonts w:ascii="Arial" w:hAnsi="Arial" w:cs="Arial"/>
          <w:sz w:val="22"/>
          <w:szCs w:val="22"/>
          <w:lang w:val="en-US"/>
        </w:rPr>
        <w:t xml:space="preserve">. This value is intended to provide a starting point for sharing </w:t>
      </w:r>
      <w:r w:rsidRPr="00EE04E6">
        <w:rPr>
          <w:rFonts w:ascii="Arial" w:hAnsi="Arial" w:cs="Arial"/>
          <w:sz w:val="22"/>
          <w:szCs w:val="22"/>
          <w:lang w:val="en-US" w:eastAsia="ja-JP"/>
        </w:rPr>
        <w:t xml:space="preserve">or compatibility </w:t>
      </w:r>
      <w:r w:rsidRPr="00EE04E6">
        <w:rPr>
          <w:rFonts w:ascii="Arial" w:hAnsi="Arial" w:cs="Arial"/>
          <w:sz w:val="22"/>
          <w:szCs w:val="22"/>
          <w:lang w:val="en-US"/>
        </w:rPr>
        <w:t xml:space="preserve">considerations. Although a value for </w:t>
      </w:r>
      <w:r w:rsidRPr="00EE04E6">
        <w:rPr>
          <w:rFonts w:ascii="Arial" w:hAnsi="Arial" w:cs="Arial"/>
          <w:i/>
          <w:iCs/>
          <w:sz w:val="22"/>
          <w:szCs w:val="22"/>
          <w:lang w:val="en-US"/>
        </w:rPr>
        <w:t>N</w:t>
      </w:r>
      <w:r w:rsidRPr="00EE04E6">
        <w:rPr>
          <w:rFonts w:ascii="Arial" w:hAnsi="Arial" w:cs="Arial"/>
          <w:i/>
          <w:iCs/>
          <w:sz w:val="22"/>
          <w:szCs w:val="22"/>
          <w:vertAlign w:val="subscript"/>
          <w:lang w:val="en-US"/>
        </w:rPr>
        <w:t>RX</w:t>
      </w:r>
      <w:r w:rsidRPr="00EE04E6">
        <w:rPr>
          <w:rFonts w:ascii="Arial" w:hAnsi="Arial" w:cs="Arial"/>
          <w:sz w:val="22"/>
          <w:szCs w:val="22"/>
          <w:lang w:val="en-US"/>
        </w:rPr>
        <w:t xml:space="preserve"> is available in the second row above this entry in each column of these Tables, an appropriate value for </w:t>
      </w:r>
      <w:r w:rsidRPr="00EE04E6">
        <w:rPr>
          <w:rFonts w:ascii="Arial" w:hAnsi="Arial" w:cs="Arial"/>
          <w:i/>
          <w:iCs/>
          <w:sz w:val="22"/>
          <w:szCs w:val="22"/>
          <w:lang w:val="en-US"/>
        </w:rPr>
        <w:t>I/N</w:t>
      </w:r>
      <w:r w:rsidRPr="00EE04E6">
        <w:rPr>
          <w:rFonts w:ascii="Arial" w:hAnsi="Arial" w:cs="Arial"/>
          <w:sz w:val="22"/>
          <w:szCs w:val="22"/>
          <w:lang w:val="en-US"/>
        </w:rPr>
        <w:t xml:space="preserve"> depends on the frequency band </w:t>
      </w:r>
      <w:r w:rsidRPr="00EE04E6">
        <w:rPr>
          <w:rFonts w:ascii="Arial" w:hAnsi="Arial" w:cs="Arial"/>
          <w:sz w:val="22"/>
          <w:szCs w:val="22"/>
          <w:lang w:val="en-US"/>
        </w:rPr>
        <w:lastRenderedPageBreak/>
        <w:t xml:space="preserve">and the sharing </w:t>
      </w:r>
      <w:r w:rsidRPr="00EE04E6">
        <w:rPr>
          <w:rFonts w:ascii="Arial" w:hAnsi="Arial" w:cs="Arial"/>
          <w:sz w:val="22"/>
          <w:szCs w:val="22"/>
          <w:lang w:val="en-US" w:eastAsia="ja-JP"/>
        </w:rPr>
        <w:t xml:space="preserve">or compatibility </w:t>
      </w:r>
      <w:r w:rsidRPr="00EE04E6">
        <w:rPr>
          <w:rFonts w:ascii="Arial" w:hAnsi="Arial" w:cs="Arial"/>
          <w:sz w:val="22"/>
          <w:szCs w:val="22"/>
          <w:lang w:val="en-US"/>
        </w:rPr>
        <w:t xml:space="preserve">conditions as shown in Table </w:t>
      </w:r>
      <w:r>
        <w:rPr>
          <w:rFonts w:ascii="Arial" w:hAnsi="Arial" w:cs="Arial"/>
          <w:sz w:val="22"/>
          <w:szCs w:val="22"/>
          <w:lang w:val="en-US"/>
        </w:rPr>
        <w:t>1</w:t>
      </w:r>
      <w:r w:rsidRPr="00EE04E6">
        <w:rPr>
          <w:rFonts w:ascii="Arial" w:hAnsi="Arial" w:cs="Arial"/>
          <w:sz w:val="22"/>
          <w:szCs w:val="22"/>
          <w:lang w:val="en-US"/>
        </w:rPr>
        <w:t xml:space="preserve"> below. In most cases, in the past, a</w:t>
      </w:r>
      <w:r w:rsidRPr="00EE04E6">
        <w:rPr>
          <w:rFonts w:ascii="Arial" w:hAnsi="Arial" w:cs="Arial"/>
          <w:sz w:val="22"/>
          <w:szCs w:val="22"/>
          <w:lang w:val="en-US" w:eastAsia="ja-JP"/>
        </w:rPr>
        <w:t>n aggregate</w:t>
      </w:r>
      <w:r w:rsidRPr="00EE04E6">
        <w:rPr>
          <w:rFonts w:ascii="Arial" w:hAnsi="Arial" w:cs="Arial"/>
          <w:sz w:val="22"/>
          <w:szCs w:val="22"/>
          <w:lang w:val="en-US"/>
        </w:rPr>
        <w:t xml:space="preserve"> value of</w:t>
      </w:r>
      <w:r w:rsidRPr="00EE04E6">
        <w:rPr>
          <w:rFonts w:ascii="Arial" w:hAnsi="Arial" w:cs="Arial"/>
          <w:sz w:val="22"/>
          <w:szCs w:val="22"/>
          <w:lang w:val="en-US" w:eastAsia="ja-JP"/>
        </w:rPr>
        <w:t xml:space="preserve"> </w:t>
      </w:r>
      <w:r w:rsidRPr="00EE04E6">
        <w:rPr>
          <w:rFonts w:ascii="Arial" w:hAnsi="Arial" w:cs="Arial"/>
          <w:sz w:val="22"/>
          <w:szCs w:val="22"/>
          <w:lang w:val="en-US"/>
        </w:rPr>
        <w:t>−10 dB</w:t>
      </w:r>
      <w:r w:rsidRPr="00EE04E6">
        <w:rPr>
          <w:rFonts w:ascii="Arial" w:hAnsi="Arial" w:cs="Arial"/>
          <w:sz w:val="22"/>
          <w:szCs w:val="22"/>
          <w:lang w:val="en-US" w:eastAsia="ja-JP"/>
        </w:rPr>
        <w:t xml:space="preserve"> </w:t>
      </w:r>
      <w:r w:rsidRPr="00EE04E6">
        <w:rPr>
          <w:rFonts w:ascii="Arial" w:hAnsi="Arial" w:cs="Arial"/>
          <w:sz w:val="22"/>
          <w:szCs w:val="22"/>
          <w:lang w:val="en-US"/>
        </w:rPr>
        <w:t>has been used</w:t>
      </w:r>
      <w:r w:rsidRPr="00EE04E6">
        <w:rPr>
          <w:rFonts w:ascii="Arial" w:hAnsi="Arial" w:cs="Arial"/>
          <w:sz w:val="22"/>
          <w:szCs w:val="22"/>
          <w:lang w:val="en-US" w:eastAsia="ja-JP"/>
        </w:rPr>
        <w:t xml:space="preserve"> for sharing conditions with one co-primary service</w:t>
      </w:r>
      <w:r w:rsidRPr="00EE04E6">
        <w:rPr>
          <w:rFonts w:ascii="Arial" w:hAnsi="Arial" w:cs="Arial"/>
          <w:sz w:val="22"/>
          <w:szCs w:val="22"/>
          <w:lang w:val="en-US"/>
        </w:rPr>
        <w:t xml:space="preserve">; however, other values have also been used or developed in sharing </w:t>
      </w:r>
      <w:r w:rsidRPr="00EE04E6">
        <w:rPr>
          <w:rFonts w:ascii="Arial" w:hAnsi="Arial" w:cs="Arial"/>
          <w:sz w:val="22"/>
          <w:szCs w:val="22"/>
          <w:lang w:val="en-US" w:eastAsia="ja-JP"/>
        </w:rPr>
        <w:t xml:space="preserve">and compatibility </w:t>
      </w:r>
      <w:r w:rsidRPr="00EE04E6">
        <w:rPr>
          <w:rFonts w:ascii="Arial" w:hAnsi="Arial" w:cs="Arial"/>
          <w:sz w:val="22"/>
          <w:szCs w:val="22"/>
          <w:lang w:val="en-US"/>
        </w:rPr>
        <w:t>studies</w:t>
      </w:r>
      <w:r w:rsidRPr="00EE04E6">
        <w:rPr>
          <w:rFonts w:ascii="Arial" w:hAnsi="Arial" w:cs="Arial"/>
          <w:sz w:val="22"/>
          <w:szCs w:val="22"/>
          <w:lang w:val="en-US" w:eastAsia="ja-JP"/>
        </w:rPr>
        <w:t xml:space="preserve"> in different interference environments</w:t>
      </w:r>
      <w:r w:rsidRPr="00EE04E6">
        <w:rPr>
          <w:rFonts w:ascii="Arial" w:hAnsi="Arial" w:cs="Arial"/>
          <w:sz w:val="22"/>
          <w:szCs w:val="22"/>
          <w:lang w:val="en-US"/>
        </w:rPr>
        <w:t xml:space="preserve">. </w:t>
      </w:r>
    </w:p>
    <w:p w:rsidR="00EE04E6" w:rsidRPr="00EE04E6" w:rsidRDefault="00EE04E6" w:rsidP="00EE04E6">
      <w:pPr>
        <w:rPr>
          <w:rFonts w:ascii="Arial" w:hAnsi="Arial" w:cs="Arial"/>
          <w:sz w:val="22"/>
          <w:szCs w:val="22"/>
          <w:lang w:val="en-US" w:eastAsia="ja-JP"/>
        </w:rPr>
      </w:pPr>
      <w:r w:rsidRPr="00EE04E6">
        <w:rPr>
          <w:rFonts w:ascii="Arial" w:hAnsi="Arial" w:cs="Arial"/>
          <w:sz w:val="22"/>
          <w:szCs w:val="22"/>
          <w:lang w:val="en-US" w:eastAsia="ja-JP"/>
        </w:rPr>
        <w:t xml:space="preserve">A value of −6 dB was used in some cases of co-primary sharing in bands below 3 GHz. In addition, further guidance is provided for sharing studies involving more than one co-primary service; </w:t>
      </w:r>
      <w:r w:rsidRPr="00EE04E6">
        <w:rPr>
          <w:rFonts w:ascii="Arial" w:hAnsi="Arial" w:cs="Arial"/>
          <w:sz w:val="22"/>
          <w:szCs w:val="22"/>
          <w:lang w:val="en-US"/>
        </w:rPr>
        <w:t xml:space="preserve">Table 4 provides some guidance in the choice of </w:t>
      </w:r>
      <w:r w:rsidRPr="00EE04E6">
        <w:rPr>
          <w:rFonts w:ascii="Arial" w:hAnsi="Arial" w:cs="Arial"/>
          <w:i/>
          <w:iCs/>
          <w:sz w:val="22"/>
          <w:szCs w:val="22"/>
          <w:lang w:val="en-US"/>
        </w:rPr>
        <w:t>I/N</w:t>
      </w:r>
      <w:r w:rsidRPr="00EE04E6">
        <w:rPr>
          <w:rFonts w:ascii="Arial" w:hAnsi="Arial" w:cs="Arial"/>
          <w:sz w:val="22"/>
          <w:szCs w:val="22"/>
          <w:lang w:val="en-US"/>
        </w:rPr>
        <w:t xml:space="preserve"> values for use in determining an appropriate long-term interference power density.</w:t>
      </w:r>
    </w:p>
    <w:p w:rsidR="002070A6" w:rsidRPr="00763947" w:rsidRDefault="002070A6" w:rsidP="002070A6">
      <w:pPr>
        <w:pStyle w:val="TableNo"/>
        <w:rPr>
          <w:rFonts w:ascii="Arial" w:hAnsi="Arial" w:cs="Arial"/>
          <w:sz w:val="20"/>
          <w:lang w:val="en-US"/>
        </w:rPr>
      </w:pPr>
      <w:r w:rsidRPr="00763947">
        <w:rPr>
          <w:rFonts w:ascii="Arial" w:hAnsi="Arial" w:cs="Arial"/>
          <w:sz w:val="20"/>
          <w:lang w:val="en-US"/>
        </w:rPr>
        <w:t xml:space="preserve">TABLE </w:t>
      </w:r>
      <w:r w:rsidR="00EE04E6">
        <w:rPr>
          <w:rFonts w:ascii="Arial" w:hAnsi="Arial" w:cs="Arial"/>
          <w:sz w:val="20"/>
          <w:lang w:val="en-US"/>
        </w:rPr>
        <w:t>1</w:t>
      </w:r>
      <w:r w:rsidRPr="00763947">
        <w:rPr>
          <w:rFonts w:ascii="Arial" w:hAnsi="Arial" w:cs="Arial"/>
          <w:sz w:val="20"/>
          <w:lang w:val="en-US"/>
        </w:rPr>
        <w:t xml:space="preserve">: </w:t>
      </w:r>
      <w:r w:rsidRPr="00763947">
        <w:rPr>
          <w:rFonts w:ascii="Arial" w:hAnsi="Arial" w:cs="Arial"/>
          <w:sz w:val="20"/>
          <w:lang w:val="en-US" w:eastAsia="ja-JP"/>
        </w:rPr>
        <w:t>G</w:t>
      </w:r>
      <w:r w:rsidRPr="00763947">
        <w:rPr>
          <w:rFonts w:ascii="Arial" w:hAnsi="Arial" w:cs="Arial"/>
          <w:sz w:val="20"/>
          <w:lang w:val="en-US"/>
        </w:rPr>
        <w:t xml:space="preserve">uidance in the choice of </w:t>
      </w:r>
      <w:r w:rsidRPr="00763947">
        <w:rPr>
          <w:rFonts w:ascii="Arial" w:hAnsi="Arial" w:cs="Arial"/>
          <w:i/>
          <w:iCs/>
          <w:sz w:val="20"/>
          <w:lang w:val="en-US"/>
        </w:rPr>
        <w:t>I</w:t>
      </w:r>
      <w:r w:rsidRPr="00763947">
        <w:rPr>
          <w:rFonts w:ascii="Arial" w:hAnsi="Arial" w:cs="Arial"/>
          <w:sz w:val="20"/>
          <w:lang w:val="en-US"/>
        </w:rPr>
        <w:t>/</w:t>
      </w:r>
      <w:r w:rsidRPr="00763947">
        <w:rPr>
          <w:rFonts w:ascii="Arial" w:hAnsi="Arial" w:cs="Arial"/>
          <w:i/>
          <w:iCs/>
          <w:sz w:val="20"/>
          <w:lang w:val="en-US"/>
        </w:rPr>
        <w:t>N</w:t>
      </w:r>
      <w:r w:rsidRPr="00763947">
        <w:rPr>
          <w:rFonts w:ascii="Arial" w:hAnsi="Arial" w:cs="Arial"/>
          <w:sz w:val="20"/>
          <w:lang w:val="en-US"/>
        </w:rPr>
        <w:t xml:space="preserve"> values for long-term interference</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814"/>
        <w:gridCol w:w="2494"/>
        <w:gridCol w:w="4195"/>
      </w:tblGrid>
      <w:tr w:rsidR="002070A6" w:rsidRPr="00763947" w:rsidTr="002070A6">
        <w:trPr>
          <w:trHeight w:val="61"/>
          <w:jc w:val="center"/>
        </w:trPr>
        <w:tc>
          <w:tcPr>
            <w:tcW w:w="1134" w:type="dxa"/>
            <w:vAlign w:val="center"/>
          </w:tcPr>
          <w:p w:rsidR="002070A6" w:rsidRPr="00763947" w:rsidRDefault="002070A6" w:rsidP="00B91497">
            <w:pPr>
              <w:pStyle w:val="Tablehead"/>
              <w:rPr>
                <w:rFonts w:ascii="Arial" w:hAnsi="Arial" w:cs="Arial"/>
                <w:sz w:val="20"/>
                <w:vertAlign w:val="superscript"/>
              </w:rPr>
            </w:pPr>
            <w:r w:rsidRPr="00763947">
              <w:rPr>
                <w:rFonts w:ascii="Arial" w:hAnsi="Arial" w:cs="Arial"/>
                <w:i/>
                <w:iCs/>
                <w:sz w:val="20"/>
              </w:rPr>
              <w:t>I/</w:t>
            </w:r>
            <w:r w:rsidRPr="00763947">
              <w:rPr>
                <w:rFonts w:ascii="Arial" w:hAnsi="Arial" w:cs="Arial"/>
                <w:sz w:val="20"/>
              </w:rPr>
              <w:t>N</w:t>
            </w:r>
            <w:r w:rsidRPr="00763947">
              <w:rPr>
                <w:rFonts w:ascii="Arial" w:hAnsi="Arial" w:cs="Arial"/>
                <w:sz w:val="20"/>
                <w:vertAlign w:val="superscript"/>
              </w:rPr>
              <w:t>1</w:t>
            </w:r>
          </w:p>
        </w:tc>
        <w:tc>
          <w:tcPr>
            <w:tcW w:w="1814" w:type="dxa"/>
            <w:vAlign w:val="center"/>
          </w:tcPr>
          <w:p w:rsidR="002070A6" w:rsidRPr="00763947" w:rsidRDefault="002070A6" w:rsidP="00B91497">
            <w:pPr>
              <w:pStyle w:val="Tablehead"/>
              <w:rPr>
                <w:rFonts w:ascii="Arial" w:hAnsi="Arial" w:cs="Arial"/>
                <w:sz w:val="20"/>
              </w:rPr>
            </w:pPr>
            <w:r w:rsidRPr="00763947">
              <w:rPr>
                <w:rFonts w:ascii="Arial" w:hAnsi="Arial" w:cs="Arial"/>
                <w:sz w:val="20"/>
              </w:rPr>
              <w:t>Frequency range</w:t>
            </w:r>
          </w:p>
        </w:tc>
        <w:tc>
          <w:tcPr>
            <w:tcW w:w="2494" w:type="dxa"/>
            <w:vAlign w:val="center"/>
          </w:tcPr>
          <w:p w:rsidR="002070A6" w:rsidRPr="00763947" w:rsidRDefault="002070A6" w:rsidP="00B91497">
            <w:pPr>
              <w:pStyle w:val="Tablehead"/>
              <w:rPr>
                <w:rFonts w:ascii="Arial" w:hAnsi="Arial" w:cs="Arial"/>
                <w:sz w:val="20"/>
                <w:lang w:eastAsia="ja-JP"/>
              </w:rPr>
            </w:pPr>
            <w:r w:rsidRPr="00763947">
              <w:rPr>
                <w:rFonts w:ascii="Arial" w:hAnsi="Arial" w:cs="Arial"/>
                <w:sz w:val="20"/>
                <w:lang w:eastAsia="ja-JP"/>
              </w:rPr>
              <w:t>Sharing/compatibility</w:t>
            </w:r>
            <w:r w:rsidRPr="00763947">
              <w:rPr>
                <w:rFonts w:ascii="Arial" w:hAnsi="Arial" w:cs="Arial"/>
                <w:sz w:val="20"/>
              </w:rPr>
              <w:t xml:space="preserve"> </w:t>
            </w:r>
            <w:r w:rsidRPr="00763947">
              <w:rPr>
                <w:rFonts w:ascii="Arial" w:hAnsi="Arial" w:cs="Arial"/>
                <w:sz w:val="20"/>
                <w:lang w:eastAsia="ja-JP"/>
              </w:rPr>
              <w:t>conditions</w:t>
            </w:r>
          </w:p>
        </w:tc>
        <w:tc>
          <w:tcPr>
            <w:tcW w:w="4195" w:type="dxa"/>
            <w:vAlign w:val="center"/>
          </w:tcPr>
          <w:p w:rsidR="002070A6" w:rsidRPr="00763947" w:rsidRDefault="002070A6" w:rsidP="00B91497">
            <w:pPr>
              <w:pStyle w:val="Tablehead"/>
              <w:rPr>
                <w:rFonts w:ascii="Arial" w:hAnsi="Arial" w:cs="Arial"/>
                <w:sz w:val="20"/>
                <w:lang w:eastAsia="ja-JP"/>
              </w:rPr>
            </w:pPr>
            <w:r w:rsidRPr="00763947">
              <w:rPr>
                <w:rFonts w:ascii="Arial" w:hAnsi="Arial" w:cs="Arial"/>
                <w:sz w:val="20"/>
              </w:rPr>
              <w:t xml:space="preserve">Comments </w:t>
            </w:r>
            <w:r w:rsidRPr="00763947">
              <w:rPr>
                <w:rFonts w:ascii="Arial" w:hAnsi="Arial" w:cs="Arial"/>
                <w:sz w:val="20"/>
                <w:lang w:eastAsia="ja-JP"/>
              </w:rPr>
              <w:t>and r</w:t>
            </w:r>
            <w:r w:rsidRPr="00763947">
              <w:rPr>
                <w:rFonts w:ascii="Arial" w:hAnsi="Arial" w:cs="Arial"/>
                <w:sz w:val="20"/>
              </w:rPr>
              <w:t>elevant ITU-R Recommendations</w:t>
            </w:r>
          </w:p>
        </w:tc>
      </w:tr>
      <w:tr w:rsidR="002070A6" w:rsidRPr="00763947" w:rsidTr="002070A6">
        <w:trPr>
          <w:trHeight w:val="624"/>
          <w:jc w:val="center"/>
        </w:trPr>
        <w:tc>
          <w:tcPr>
            <w:tcW w:w="1134" w:type="dxa"/>
            <w:vAlign w:val="center"/>
          </w:tcPr>
          <w:p w:rsidR="002070A6" w:rsidRPr="00763947" w:rsidRDefault="002070A6" w:rsidP="00B91497">
            <w:pPr>
              <w:pStyle w:val="Tabletext"/>
              <w:keepNext/>
              <w:keepLines/>
              <w:jc w:val="center"/>
              <w:rPr>
                <w:rFonts w:ascii="Arial" w:hAnsi="Arial" w:cs="Arial"/>
                <w:sz w:val="20"/>
              </w:rPr>
            </w:pPr>
            <w:r w:rsidRPr="00763947">
              <w:rPr>
                <w:rFonts w:ascii="Arial" w:hAnsi="Arial" w:cs="Arial"/>
                <w:sz w:val="20"/>
              </w:rPr>
              <w:t>–6 dB</w:t>
            </w:r>
          </w:p>
        </w:tc>
        <w:tc>
          <w:tcPr>
            <w:tcW w:w="1814" w:type="dxa"/>
            <w:vAlign w:val="center"/>
          </w:tcPr>
          <w:p w:rsidR="002070A6" w:rsidRPr="00763947" w:rsidRDefault="002070A6" w:rsidP="00B91497">
            <w:pPr>
              <w:pStyle w:val="Tabletext"/>
              <w:keepNext/>
              <w:keepLines/>
              <w:jc w:val="center"/>
              <w:rPr>
                <w:rFonts w:ascii="Arial" w:hAnsi="Arial" w:cs="Arial"/>
                <w:sz w:val="20"/>
              </w:rPr>
            </w:pPr>
            <w:r w:rsidRPr="00763947">
              <w:rPr>
                <w:rFonts w:ascii="Arial" w:hAnsi="Arial" w:cs="Arial"/>
                <w:sz w:val="20"/>
              </w:rPr>
              <w:t>30 MHz to 3 GHz</w:t>
            </w:r>
          </w:p>
        </w:tc>
        <w:tc>
          <w:tcPr>
            <w:tcW w:w="2494" w:type="dxa"/>
            <w:vMerge w:val="restart"/>
          </w:tcPr>
          <w:p w:rsidR="002070A6" w:rsidRPr="00763947" w:rsidRDefault="002070A6" w:rsidP="00B91497">
            <w:pPr>
              <w:pStyle w:val="Tabletext"/>
              <w:jc w:val="left"/>
              <w:rPr>
                <w:rFonts w:ascii="Arial" w:hAnsi="Arial" w:cs="Arial"/>
                <w:sz w:val="20"/>
                <w:lang w:val="en-US"/>
              </w:rPr>
            </w:pPr>
            <w:r w:rsidRPr="00763947">
              <w:rPr>
                <w:rFonts w:ascii="Arial" w:hAnsi="Arial" w:cs="Arial"/>
                <w:sz w:val="20"/>
                <w:lang w:val="en-US"/>
              </w:rPr>
              <w:t>Sharing condition except as noted elsewhere in this Table</w:t>
            </w:r>
          </w:p>
        </w:tc>
        <w:tc>
          <w:tcPr>
            <w:tcW w:w="4195" w:type="dxa"/>
            <w:vMerge w:val="restart"/>
          </w:tcPr>
          <w:p w:rsidR="002070A6" w:rsidRPr="00763947" w:rsidRDefault="002070A6" w:rsidP="00B91497">
            <w:pPr>
              <w:pStyle w:val="Tabletext"/>
              <w:keepNext/>
              <w:keepLines/>
              <w:jc w:val="left"/>
              <w:rPr>
                <w:rFonts w:ascii="Arial" w:hAnsi="Arial" w:cs="Arial"/>
                <w:sz w:val="20"/>
                <w:lang w:val="en-US"/>
              </w:rPr>
            </w:pPr>
            <w:r w:rsidRPr="00763947">
              <w:rPr>
                <w:rFonts w:ascii="Arial" w:hAnsi="Arial" w:cs="Arial"/>
                <w:sz w:val="20"/>
                <w:lang w:val="en-US"/>
              </w:rPr>
              <w:t>Generally applicable value for the aggregate interference</w:t>
            </w:r>
          </w:p>
          <w:p w:rsidR="002070A6" w:rsidRPr="00763947" w:rsidRDefault="002070A6" w:rsidP="00E3604D">
            <w:pPr>
              <w:pStyle w:val="Tabletext"/>
              <w:jc w:val="left"/>
              <w:rPr>
                <w:rFonts w:ascii="Arial" w:hAnsi="Arial" w:cs="Arial"/>
                <w:sz w:val="20"/>
                <w:lang w:val="en-US"/>
              </w:rPr>
            </w:pPr>
            <w:r w:rsidRPr="00763947">
              <w:rPr>
                <w:rFonts w:ascii="Arial" w:hAnsi="Arial" w:cs="Arial"/>
                <w:sz w:val="20"/>
                <w:lang w:val="en-US"/>
              </w:rPr>
              <w:t>See the relevant Recommendations</w:t>
            </w:r>
          </w:p>
        </w:tc>
      </w:tr>
      <w:tr w:rsidR="002070A6" w:rsidRPr="00763947" w:rsidTr="002070A6">
        <w:trPr>
          <w:jc w:val="center"/>
        </w:trPr>
        <w:tc>
          <w:tcPr>
            <w:tcW w:w="1134" w:type="dxa"/>
            <w:vAlign w:val="center"/>
          </w:tcPr>
          <w:p w:rsidR="002070A6" w:rsidRPr="00763947" w:rsidRDefault="002070A6" w:rsidP="00B91497">
            <w:pPr>
              <w:pStyle w:val="Tabletext"/>
              <w:keepNext/>
              <w:keepLines/>
              <w:jc w:val="center"/>
              <w:rPr>
                <w:rFonts w:ascii="Arial" w:hAnsi="Arial" w:cs="Arial"/>
                <w:sz w:val="20"/>
              </w:rPr>
            </w:pPr>
            <w:r w:rsidRPr="00763947">
              <w:rPr>
                <w:rFonts w:ascii="Arial" w:hAnsi="Arial" w:cs="Arial"/>
                <w:sz w:val="20"/>
              </w:rPr>
              <w:t>–10 dB</w:t>
            </w:r>
          </w:p>
        </w:tc>
        <w:tc>
          <w:tcPr>
            <w:tcW w:w="1814" w:type="dxa"/>
            <w:vAlign w:val="center"/>
          </w:tcPr>
          <w:p w:rsidR="002070A6" w:rsidRPr="00763947" w:rsidRDefault="002070A6" w:rsidP="00B91497">
            <w:pPr>
              <w:pStyle w:val="Tabletext"/>
              <w:keepNext/>
              <w:keepLines/>
              <w:jc w:val="center"/>
              <w:rPr>
                <w:rFonts w:ascii="Arial" w:hAnsi="Arial" w:cs="Arial"/>
                <w:sz w:val="20"/>
              </w:rPr>
            </w:pPr>
            <w:r w:rsidRPr="00763947">
              <w:rPr>
                <w:rFonts w:ascii="Arial" w:hAnsi="Arial" w:cs="Arial"/>
                <w:sz w:val="20"/>
              </w:rPr>
              <w:t>Above 3 GHz</w:t>
            </w:r>
          </w:p>
        </w:tc>
        <w:tc>
          <w:tcPr>
            <w:tcW w:w="2494" w:type="dxa"/>
            <w:vMerge/>
          </w:tcPr>
          <w:p w:rsidR="002070A6" w:rsidRPr="00763947" w:rsidRDefault="002070A6" w:rsidP="00B91497">
            <w:pPr>
              <w:pStyle w:val="Tabletext"/>
              <w:jc w:val="left"/>
              <w:rPr>
                <w:rFonts w:ascii="Arial" w:hAnsi="Arial" w:cs="Arial"/>
                <w:sz w:val="20"/>
              </w:rPr>
            </w:pPr>
          </w:p>
        </w:tc>
        <w:tc>
          <w:tcPr>
            <w:tcW w:w="4195" w:type="dxa"/>
            <w:vMerge/>
          </w:tcPr>
          <w:p w:rsidR="002070A6" w:rsidRPr="00763947" w:rsidRDefault="002070A6" w:rsidP="00B91497">
            <w:pPr>
              <w:pStyle w:val="Tabletext"/>
              <w:jc w:val="center"/>
              <w:rPr>
                <w:rFonts w:ascii="Arial" w:hAnsi="Arial" w:cs="Arial"/>
                <w:sz w:val="20"/>
                <w:lang w:val="en-US"/>
              </w:rPr>
            </w:pPr>
          </w:p>
        </w:tc>
      </w:tr>
      <w:tr w:rsidR="002070A6" w:rsidRPr="00763947" w:rsidTr="002070A6">
        <w:trPr>
          <w:jc w:val="center"/>
        </w:trPr>
        <w:tc>
          <w:tcPr>
            <w:tcW w:w="1134" w:type="dxa"/>
            <w:vAlign w:val="center"/>
          </w:tcPr>
          <w:p w:rsidR="002070A6" w:rsidRPr="00763947" w:rsidRDefault="002070A6" w:rsidP="00B91497">
            <w:pPr>
              <w:pStyle w:val="Tabletext"/>
              <w:keepNext/>
              <w:keepLines/>
              <w:jc w:val="center"/>
              <w:rPr>
                <w:rFonts w:ascii="Arial" w:hAnsi="Arial" w:cs="Arial"/>
                <w:sz w:val="20"/>
              </w:rPr>
            </w:pPr>
            <w:r w:rsidRPr="00763947">
              <w:rPr>
                <w:rFonts w:ascii="Arial" w:hAnsi="Arial" w:cs="Arial"/>
                <w:sz w:val="20"/>
              </w:rPr>
              <w:t xml:space="preserve">≤ </w:t>
            </w:r>
            <w:r w:rsidRPr="00763947">
              <w:rPr>
                <w:rFonts w:ascii="Arial" w:hAnsi="Arial" w:cs="Arial"/>
                <w:sz w:val="20"/>
              </w:rPr>
              <w:sym w:font="Symbol" w:char="F02D"/>
            </w:r>
            <w:r w:rsidRPr="00763947">
              <w:rPr>
                <w:rFonts w:ascii="Arial" w:hAnsi="Arial" w:cs="Arial"/>
                <w:sz w:val="20"/>
              </w:rPr>
              <w:t>6 dB</w:t>
            </w:r>
          </w:p>
        </w:tc>
        <w:tc>
          <w:tcPr>
            <w:tcW w:w="1814" w:type="dxa"/>
            <w:vAlign w:val="center"/>
          </w:tcPr>
          <w:p w:rsidR="002070A6" w:rsidRPr="00763947" w:rsidRDefault="002070A6" w:rsidP="00B91497">
            <w:pPr>
              <w:pStyle w:val="Tabletext"/>
              <w:keepNext/>
              <w:keepLines/>
              <w:jc w:val="center"/>
              <w:rPr>
                <w:rFonts w:ascii="Arial" w:hAnsi="Arial" w:cs="Arial"/>
                <w:sz w:val="20"/>
              </w:rPr>
            </w:pPr>
            <w:r w:rsidRPr="00763947">
              <w:rPr>
                <w:rFonts w:ascii="Arial" w:hAnsi="Arial" w:cs="Arial"/>
                <w:sz w:val="20"/>
              </w:rPr>
              <w:t>30 MHz to 3 GHz</w:t>
            </w:r>
          </w:p>
        </w:tc>
        <w:tc>
          <w:tcPr>
            <w:tcW w:w="2494" w:type="dxa"/>
            <w:vMerge w:val="restart"/>
          </w:tcPr>
          <w:p w:rsidR="002070A6" w:rsidRPr="00763947" w:rsidRDefault="002070A6" w:rsidP="00B91497">
            <w:pPr>
              <w:pStyle w:val="Tabletext"/>
              <w:keepNext/>
              <w:keepLines/>
              <w:jc w:val="left"/>
              <w:rPr>
                <w:rFonts w:ascii="Arial" w:hAnsi="Arial" w:cs="Arial"/>
                <w:sz w:val="20"/>
                <w:lang w:val="en-US"/>
              </w:rPr>
            </w:pPr>
            <w:r w:rsidRPr="00763947">
              <w:rPr>
                <w:rFonts w:ascii="Arial" w:hAnsi="Arial" w:cs="Arial"/>
                <w:sz w:val="20"/>
                <w:lang w:val="en-US"/>
              </w:rPr>
              <w:t>Sharing with more than one co-primary service</w:t>
            </w:r>
          </w:p>
        </w:tc>
        <w:tc>
          <w:tcPr>
            <w:tcW w:w="4195" w:type="dxa"/>
            <w:vMerge w:val="restart"/>
          </w:tcPr>
          <w:p w:rsidR="002070A6" w:rsidRPr="00763947" w:rsidRDefault="002070A6" w:rsidP="00B91497">
            <w:pPr>
              <w:pStyle w:val="Tabletext"/>
              <w:keepNext/>
              <w:keepLines/>
              <w:jc w:val="left"/>
              <w:rPr>
                <w:rFonts w:ascii="Arial" w:hAnsi="Arial" w:cs="Arial"/>
                <w:sz w:val="20"/>
                <w:lang w:val="en-US"/>
              </w:rPr>
            </w:pPr>
            <w:r w:rsidRPr="00763947">
              <w:rPr>
                <w:rFonts w:ascii="Arial" w:hAnsi="Arial" w:cs="Arial"/>
                <w:sz w:val="20"/>
                <w:lang w:val="en-US"/>
              </w:rPr>
              <w:t>Apportionment of F.1094 objectives (See § 2 in Annex 1 of  this Recommendation)</w:t>
            </w:r>
          </w:p>
          <w:p w:rsidR="002070A6" w:rsidRPr="00763947" w:rsidRDefault="002070A6" w:rsidP="00B91497">
            <w:pPr>
              <w:pStyle w:val="Tabletext"/>
              <w:keepNext/>
              <w:keepLines/>
              <w:jc w:val="left"/>
              <w:rPr>
                <w:rFonts w:ascii="Arial" w:hAnsi="Arial" w:cs="Arial"/>
                <w:sz w:val="20"/>
                <w:lang w:val="en-US"/>
              </w:rPr>
            </w:pPr>
            <w:r w:rsidRPr="00763947">
              <w:rPr>
                <w:rFonts w:ascii="Arial" w:hAnsi="Arial" w:cs="Arial"/>
                <w:sz w:val="20"/>
              </w:rPr>
              <w:sym w:font="Symbol" w:char="F02D"/>
            </w:r>
            <w:r w:rsidRPr="00763947">
              <w:rPr>
                <w:rFonts w:ascii="Arial" w:hAnsi="Arial" w:cs="Arial"/>
                <w:sz w:val="20"/>
                <w:lang w:val="en-US"/>
              </w:rPr>
              <w:t xml:space="preserve">6 dB or –10 dB, as appropriate, may be applicable where the risk of simultaneous interference from the stations of the other co-primary allocations is negligible. In other cases, a more stringent criterion may be required to account for aggregate interference from all interfering co-primary services (i.e. </w:t>
            </w:r>
            <w:r w:rsidRPr="00763947">
              <w:rPr>
                <w:rFonts w:ascii="Arial" w:hAnsi="Arial" w:cs="Arial"/>
                <w:sz w:val="20"/>
              </w:rPr>
              <w:sym w:font="Symbol" w:char="F02D"/>
            </w:r>
            <w:r w:rsidRPr="00763947">
              <w:rPr>
                <w:rFonts w:ascii="Arial" w:hAnsi="Arial" w:cs="Arial"/>
                <w:sz w:val="20"/>
                <w:lang w:val="en-US"/>
              </w:rPr>
              <w:t xml:space="preserve">6 dB or </w:t>
            </w:r>
            <w:r w:rsidRPr="00763947">
              <w:rPr>
                <w:rFonts w:ascii="Arial" w:hAnsi="Arial" w:cs="Arial"/>
                <w:sz w:val="20"/>
              </w:rPr>
              <w:sym w:font="Symbol" w:char="F02D"/>
            </w:r>
            <w:r w:rsidRPr="00763947">
              <w:rPr>
                <w:rFonts w:ascii="Arial" w:hAnsi="Arial" w:cs="Arial"/>
                <w:sz w:val="20"/>
                <w:lang w:val="en-US"/>
              </w:rPr>
              <w:t xml:space="preserve">10 dB should be intended as maximum aggregate </w:t>
            </w:r>
            <w:r w:rsidRPr="00763947">
              <w:rPr>
                <w:rFonts w:ascii="Arial" w:hAnsi="Arial" w:cs="Arial"/>
                <w:i/>
                <w:iCs/>
                <w:sz w:val="20"/>
                <w:lang w:val="en-US"/>
              </w:rPr>
              <w:t>I/N</w:t>
            </w:r>
            <w:r w:rsidRPr="00763947">
              <w:rPr>
                <w:rFonts w:ascii="Arial" w:hAnsi="Arial" w:cs="Arial"/>
                <w:sz w:val="20"/>
                <w:lang w:val="en-US"/>
              </w:rPr>
              <w:t xml:space="preserve"> from all other co-primary services).</w:t>
            </w:r>
          </w:p>
        </w:tc>
      </w:tr>
      <w:tr w:rsidR="002070A6" w:rsidRPr="00763947" w:rsidTr="002070A6">
        <w:trPr>
          <w:jc w:val="center"/>
        </w:trPr>
        <w:tc>
          <w:tcPr>
            <w:tcW w:w="1134" w:type="dxa"/>
            <w:vAlign w:val="center"/>
          </w:tcPr>
          <w:p w:rsidR="002070A6" w:rsidRPr="00763947" w:rsidRDefault="002070A6" w:rsidP="00B91497">
            <w:pPr>
              <w:pStyle w:val="Tabletext"/>
              <w:keepNext/>
              <w:keepLines/>
              <w:jc w:val="center"/>
              <w:rPr>
                <w:rFonts w:ascii="Arial" w:hAnsi="Arial" w:cs="Arial"/>
                <w:sz w:val="20"/>
              </w:rPr>
            </w:pPr>
            <w:r w:rsidRPr="00763947">
              <w:rPr>
                <w:rFonts w:ascii="Arial" w:hAnsi="Arial" w:cs="Arial"/>
                <w:sz w:val="20"/>
              </w:rPr>
              <w:t>≤ –10 dB</w:t>
            </w:r>
          </w:p>
        </w:tc>
        <w:tc>
          <w:tcPr>
            <w:tcW w:w="1814" w:type="dxa"/>
            <w:vAlign w:val="center"/>
          </w:tcPr>
          <w:p w:rsidR="002070A6" w:rsidRPr="00763947" w:rsidRDefault="002070A6" w:rsidP="00B91497">
            <w:pPr>
              <w:pStyle w:val="Tabletext"/>
              <w:keepNext/>
              <w:keepLines/>
              <w:jc w:val="center"/>
              <w:rPr>
                <w:rFonts w:ascii="Arial" w:hAnsi="Arial" w:cs="Arial"/>
                <w:sz w:val="20"/>
              </w:rPr>
            </w:pPr>
            <w:r w:rsidRPr="00763947">
              <w:rPr>
                <w:rFonts w:ascii="Arial" w:hAnsi="Arial" w:cs="Arial"/>
                <w:sz w:val="20"/>
              </w:rPr>
              <w:t>Above 3 GHz</w:t>
            </w:r>
          </w:p>
        </w:tc>
        <w:tc>
          <w:tcPr>
            <w:tcW w:w="2494" w:type="dxa"/>
            <w:vMerge/>
          </w:tcPr>
          <w:p w:rsidR="002070A6" w:rsidRPr="00763947" w:rsidRDefault="002070A6" w:rsidP="00B91497">
            <w:pPr>
              <w:pStyle w:val="Tabletext"/>
              <w:keepNext/>
              <w:keepLines/>
              <w:jc w:val="left"/>
              <w:rPr>
                <w:rFonts w:ascii="Arial" w:hAnsi="Arial" w:cs="Arial"/>
                <w:sz w:val="20"/>
              </w:rPr>
            </w:pPr>
          </w:p>
        </w:tc>
        <w:tc>
          <w:tcPr>
            <w:tcW w:w="4195" w:type="dxa"/>
            <w:vMerge/>
          </w:tcPr>
          <w:p w:rsidR="002070A6" w:rsidRPr="00763947" w:rsidRDefault="002070A6" w:rsidP="00B91497">
            <w:pPr>
              <w:pStyle w:val="Tabletext"/>
              <w:keepNext/>
              <w:keepLines/>
              <w:jc w:val="left"/>
              <w:rPr>
                <w:rFonts w:ascii="Arial" w:hAnsi="Arial" w:cs="Arial"/>
                <w:sz w:val="20"/>
                <w:lang w:val="en-US"/>
              </w:rPr>
            </w:pPr>
          </w:p>
        </w:tc>
      </w:tr>
      <w:tr w:rsidR="002070A6" w:rsidRPr="00763947" w:rsidTr="002070A6">
        <w:trPr>
          <w:jc w:val="center"/>
        </w:trPr>
        <w:tc>
          <w:tcPr>
            <w:tcW w:w="1134" w:type="dxa"/>
            <w:vAlign w:val="center"/>
          </w:tcPr>
          <w:p w:rsidR="002070A6" w:rsidRPr="00763947" w:rsidRDefault="002070A6" w:rsidP="00B91497">
            <w:pPr>
              <w:pStyle w:val="Tabletext"/>
              <w:jc w:val="center"/>
              <w:rPr>
                <w:rFonts w:ascii="Arial" w:hAnsi="Arial" w:cs="Arial"/>
                <w:sz w:val="20"/>
              </w:rPr>
            </w:pPr>
            <w:r w:rsidRPr="00763947">
              <w:rPr>
                <w:rFonts w:ascii="Arial" w:hAnsi="Arial" w:cs="Arial"/>
                <w:sz w:val="20"/>
              </w:rPr>
              <w:t>–13 dB</w:t>
            </w:r>
          </w:p>
        </w:tc>
        <w:tc>
          <w:tcPr>
            <w:tcW w:w="1814" w:type="dxa"/>
            <w:vAlign w:val="center"/>
          </w:tcPr>
          <w:p w:rsidR="002070A6" w:rsidRPr="00763947" w:rsidRDefault="002070A6" w:rsidP="00B91497">
            <w:pPr>
              <w:pStyle w:val="Tabletext"/>
              <w:jc w:val="center"/>
              <w:rPr>
                <w:rFonts w:ascii="Arial" w:hAnsi="Arial" w:cs="Arial"/>
                <w:sz w:val="20"/>
              </w:rPr>
            </w:pPr>
            <w:r w:rsidRPr="00763947">
              <w:rPr>
                <w:rFonts w:ascii="Arial" w:hAnsi="Arial" w:cs="Arial"/>
                <w:sz w:val="20"/>
              </w:rPr>
              <w:t>3-6 GHz</w:t>
            </w:r>
          </w:p>
        </w:tc>
        <w:tc>
          <w:tcPr>
            <w:tcW w:w="2494" w:type="dxa"/>
          </w:tcPr>
          <w:p w:rsidR="002070A6" w:rsidRPr="00763947" w:rsidRDefault="002070A6" w:rsidP="00B91497">
            <w:pPr>
              <w:pStyle w:val="Tabletext"/>
              <w:jc w:val="left"/>
              <w:rPr>
                <w:rFonts w:ascii="Arial" w:hAnsi="Arial" w:cs="Arial"/>
                <w:sz w:val="20"/>
              </w:rPr>
            </w:pPr>
            <w:r w:rsidRPr="00763947">
              <w:rPr>
                <w:rFonts w:ascii="Arial" w:hAnsi="Arial" w:cs="Arial"/>
                <w:sz w:val="20"/>
              </w:rPr>
              <w:t>Compatibility with UWB</w:t>
            </w:r>
          </w:p>
        </w:tc>
        <w:tc>
          <w:tcPr>
            <w:tcW w:w="4195" w:type="dxa"/>
          </w:tcPr>
          <w:p w:rsidR="002070A6" w:rsidRPr="00763947" w:rsidRDefault="002070A6" w:rsidP="00B91497">
            <w:pPr>
              <w:pStyle w:val="Tabletext"/>
              <w:jc w:val="left"/>
              <w:rPr>
                <w:rFonts w:ascii="Arial" w:hAnsi="Arial" w:cs="Arial"/>
                <w:sz w:val="20"/>
                <w:lang w:val="en-US"/>
              </w:rPr>
            </w:pPr>
            <w:r w:rsidRPr="00763947">
              <w:rPr>
                <w:rFonts w:ascii="Arial" w:hAnsi="Arial" w:cs="Arial"/>
                <w:sz w:val="20"/>
                <w:lang w:val="en-US"/>
              </w:rPr>
              <w:t>For indoor FWA terminals only</w:t>
            </w:r>
          </w:p>
          <w:p w:rsidR="002070A6" w:rsidRPr="00763947" w:rsidRDefault="002070A6" w:rsidP="00B91497">
            <w:pPr>
              <w:pStyle w:val="Tabletext"/>
              <w:jc w:val="left"/>
              <w:rPr>
                <w:rFonts w:ascii="Arial" w:hAnsi="Arial" w:cs="Arial"/>
                <w:sz w:val="20"/>
                <w:lang w:val="en-US"/>
              </w:rPr>
            </w:pPr>
            <w:r w:rsidRPr="00763947">
              <w:rPr>
                <w:rFonts w:ascii="Arial" w:hAnsi="Arial" w:cs="Arial"/>
                <w:sz w:val="20"/>
                <w:lang w:val="en-US"/>
              </w:rPr>
              <w:t>SM.1757</w:t>
            </w:r>
          </w:p>
        </w:tc>
      </w:tr>
      <w:tr w:rsidR="002070A6" w:rsidRPr="00763947" w:rsidTr="002070A6">
        <w:trPr>
          <w:jc w:val="center"/>
        </w:trPr>
        <w:tc>
          <w:tcPr>
            <w:tcW w:w="1134" w:type="dxa"/>
            <w:vAlign w:val="center"/>
          </w:tcPr>
          <w:p w:rsidR="002070A6" w:rsidRPr="00763947" w:rsidRDefault="002070A6" w:rsidP="00B91497">
            <w:pPr>
              <w:pStyle w:val="Tabletext"/>
              <w:jc w:val="center"/>
              <w:rPr>
                <w:rFonts w:ascii="Arial" w:hAnsi="Arial" w:cs="Arial"/>
                <w:sz w:val="20"/>
              </w:rPr>
            </w:pPr>
            <w:r w:rsidRPr="00763947">
              <w:rPr>
                <w:rFonts w:ascii="Arial" w:hAnsi="Arial" w:cs="Arial"/>
                <w:sz w:val="20"/>
              </w:rPr>
              <w:t>–15 dB</w:t>
            </w:r>
          </w:p>
        </w:tc>
        <w:tc>
          <w:tcPr>
            <w:tcW w:w="1814" w:type="dxa"/>
            <w:vAlign w:val="center"/>
          </w:tcPr>
          <w:p w:rsidR="002070A6" w:rsidRPr="00763947" w:rsidRDefault="002070A6" w:rsidP="00B91497">
            <w:pPr>
              <w:pStyle w:val="Tabletext"/>
              <w:jc w:val="center"/>
              <w:rPr>
                <w:rFonts w:ascii="Arial" w:hAnsi="Arial" w:cs="Arial"/>
                <w:sz w:val="20"/>
              </w:rPr>
            </w:pPr>
            <w:r w:rsidRPr="00763947">
              <w:rPr>
                <w:rFonts w:ascii="Arial" w:hAnsi="Arial" w:cs="Arial"/>
                <w:sz w:val="20"/>
              </w:rPr>
              <w:t>27-31 GHz</w:t>
            </w:r>
          </w:p>
        </w:tc>
        <w:tc>
          <w:tcPr>
            <w:tcW w:w="2494" w:type="dxa"/>
          </w:tcPr>
          <w:p w:rsidR="002070A6" w:rsidRPr="00763947" w:rsidRDefault="002070A6" w:rsidP="00B91497">
            <w:pPr>
              <w:pStyle w:val="Tabletext"/>
              <w:jc w:val="left"/>
              <w:rPr>
                <w:rFonts w:ascii="Arial" w:hAnsi="Arial" w:cs="Arial"/>
                <w:sz w:val="20"/>
                <w:lang w:val="en-US"/>
              </w:rPr>
            </w:pPr>
            <w:r w:rsidRPr="00763947">
              <w:rPr>
                <w:rFonts w:ascii="Arial" w:hAnsi="Arial" w:cs="Arial"/>
                <w:sz w:val="20"/>
                <w:lang w:val="en-US"/>
              </w:rPr>
              <w:t>Sharing with FS using HAPS</w:t>
            </w:r>
          </w:p>
        </w:tc>
        <w:tc>
          <w:tcPr>
            <w:tcW w:w="4195" w:type="dxa"/>
          </w:tcPr>
          <w:p w:rsidR="002070A6" w:rsidRPr="00763947" w:rsidRDefault="00E3604D" w:rsidP="00B91497">
            <w:pPr>
              <w:pStyle w:val="Tabletext"/>
              <w:jc w:val="left"/>
              <w:rPr>
                <w:rFonts w:ascii="Arial" w:hAnsi="Arial" w:cs="Arial"/>
                <w:sz w:val="20"/>
              </w:rPr>
            </w:pPr>
            <w:r>
              <w:rPr>
                <w:rFonts w:ascii="Arial" w:hAnsi="Arial" w:cs="Arial"/>
                <w:sz w:val="20"/>
              </w:rPr>
              <w:t xml:space="preserve">ITU-R </w:t>
            </w:r>
            <w:r w:rsidR="002070A6" w:rsidRPr="00763947">
              <w:rPr>
                <w:rFonts w:ascii="Arial" w:hAnsi="Arial" w:cs="Arial"/>
                <w:sz w:val="20"/>
              </w:rPr>
              <w:t>F.1609</w:t>
            </w:r>
          </w:p>
        </w:tc>
      </w:tr>
      <w:tr w:rsidR="002070A6" w:rsidRPr="00763947" w:rsidTr="002070A6">
        <w:trPr>
          <w:jc w:val="center"/>
        </w:trPr>
        <w:tc>
          <w:tcPr>
            <w:tcW w:w="1134" w:type="dxa"/>
            <w:vAlign w:val="center"/>
          </w:tcPr>
          <w:p w:rsidR="002070A6" w:rsidRPr="00763947" w:rsidRDefault="002070A6" w:rsidP="00B91497">
            <w:pPr>
              <w:pStyle w:val="Tabletext"/>
              <w:jc w:val="center"/>
              <w:rPr>
                <w:rFonts w:ascii="Arial" w:hAnsi="Arial" w:cs="Arial"/>
                <w:sz w:val="20"/>
              </w:rPr>
            </w:pPr>
            <w:r w:rsidRPr="00763947">
              <w:rPr>
                <w:rFonts w:ascii="Arial" w:hAnsi="Arial" w:cs="Arial"/>
                <w:sz w:val="20"/>
              </w:rPr>
              <w:t>–20 dB</w:t>
            </w:r>
          </w:p>
        </w:tc>
        <w:tc>
          <w:tcPr>
            <w:tcW w:w="1814" w:type="dxa"/>
            <w:vAlign w:val="center"/>
          </w:tcPr>
          <w:p w:rsidR="002070A6" w:rsidRPr="00763947" w:rsidRDefault="002070A6" w:rsidP="00B91497">
            <w:pPr>
              <w:pStyle w:val="Tabletext"/>
              <w:jc w:val="center"/>
              <w:rPr>
                <w:rFonts w:ascii="Arial" w:hAnsi="Arial" w:cs="Arial"/>
                <w:sz w:val="20"/>
              </w:rPr>
            </w:pPr>
            <w:r w:rsidRPr="00763947">
              <w:rPr>
                <w:rFonts w:ascii="Arial" w:hAnsi="Arial" w:cs="Arial"/>
                <w:sz w:val="20"/>
              </w:rPr>
              <w:t>3-8.5 GHz</w:t>
            </w:r>
          </w:p>
        </w:tc>
        <w:tc>
          <w:tcPr>
            <w:tcW w:w="2494" w:type="dxa"/>
          </w:tcPr>
          <w:p w:rsidR="002070A6" w:rsidRPr="00763947" w:rsidRDefault="002070A6" w:rsidP="00B91497">
            <w:pPr>
              <w:pStyle w:val="Tabletext"/>
              <w:jc w:val="left"/>
              <w:rPr>
                <w:rFonts w:ascii="Arial" w:hAnsi="Arial" w:cs="Arial"/>
                <w:sz w:val="20"/>
              </w:rPr>
            </w:pPr>
            <w:r w:rsidRPr="00763947">
              <w:rPr>
                <w:rFonts w:ascii="Arial" w:hAnsi="Arial" w:cs="Arial"/>
                <w:sz w:val="20"/>
              </w:rPr>
              <w:t>Compatibility with UWB</w:t>
            </w:r>
          </w:p>
        </w:tc>
        <w:tc>
          <w:tcPr>
            <w:tcW w:w="4195" w:type="dxa"/>
          </w:tcPr>
          <w:p w:rsidR="002070A6" w:rsidRPr="00763947" w:rsidRDefault="002070A6" w:rsidP="00B91497">
            <w:pPr>
              <w:pStyle w:val="Tabletext"/>
              <w:jc w:val="left"/>
              <w:rPr>
                <w:rFonts w:ascii="Arial" w:hAnsi="Arial" w:cs="Arial"/>
                <w:sz w:val="20"/>
              </w:rPr>
            </w:pPr>
            <w:r w:rsidRPr="00763947">
              <w:rPr>
                <w:rFonts w:ascii="Arial" w:hAnsi="Arial" w:cs="Arial"/>
                <w:sz w:val="20"/>
              </w:rPr>
              <w:t>SM.1757</w:t>
            </w:r>
          </w:p>
        </w:tc>
      </w:tr>
      <w:tr w:rsidR="002070A6" w:rsidRPr="00763947" w:rsidTr="002070A6">
        <w:trPr>
          <w:jc w:val="center"/>
        </w:trPr>
        <w:tc>
          <w:tcPr>
            <w:tcW w:w="1134" w:type="dxa"/>
            <w:tcBorders>
              <w:bottom w:val="single" w:sz="4" w:space="0" w:color="auto"/>
            </w:tcBorders>
            <w:vAlign w:val="center"/>
          </w:tcPr>
          <w:p w:rsidR="002070A6" w:rsidRPr="00763947" w:rsidRDefault="002070A6" w:rsidP="00B91497">
            <w:pPr>
              <w:pStyle w:val="Tabletext"/>
              <w:jc w:val="center"/>
              <w:rPr>
                <w:rFonts w:ascii="Arial" w:hAnsi="Arial" w:cs="Arial"/>
                <w:sz w:val="20"/>
              </w:rPr>
            </w:pPr>
            <w:r w:rsidRPr="00763947">
              <w:rPr>
                <w:rFonts w:ascii="Arial" w:hAnsi="Arial" w:cs="Arial"/>
                <w:sz w:val="20"/>
              </w:rPr>
              <w:t>–20 dB</w:t>
            </w:r>
          </w:p>
        </w:tc>
        <w:tc>
          <w:tcPr>
            <w:tcW w:w="1814" w:type="dxa"/>
            <w:tcBorders>
              <w:bottom w:val="single" w:sz="4" w:space="0" w:color="auto"/>
            </w:tcBorders>
            <w:vAlign w:val="center"/>
          </w:tcPr>
          <w:p w:rsidR="002070A6" w:rsidRPr="00763947" w:rsidRDefault="002070A6" w:rsidP="00B91497">
            <w:pPr>
              <w:pStyle w:val="Tabletext"/>
              <w:jc w:val="center"/>
              <w:rPr>
                <w:rFonts w:ascii="Arial" w:hAnsi="Arial" w:cs="Arial"/>
                <w:sz w:val="20"/>
              </w:rPr>
            </w:pPr>
            <w:r w:rsidRPr="00763947">
              <w:rPr>
                <w:rFonts w:ascii="Arial" w:hAnsi="Arial" w:cs="Arial"/>
                <w:sz w:val="20"/>
              </w:rPr>
              <w:t>All</w:t>
            </w:r>
          </w:p>
        </w:tc>
        <w:tc>
          <w:tcPr>
            <w:tcW w:w="2494" w:type="dxa"/>
            <w:tcBorders>
              <w:bottom w:val="single" w:sz="4" w:space="0" w:color="auto"/>
            </w:tcBorders>
          </w:tcPr>
          <w:p w:rsidR="002070A6" w:rsidRPr="00763947" w:rsidRDefault="002070A6" w:rsidP="00B91497">
            <w:pPr>
              <w:pStyle w:val="Tabletext"/>
              <w:jc w:val="left"/>
              <w:rPr>
                <w:rFonts w:ascii="Arial" w:hAnsi="Arial" w:cs="Arial"/>
                <w:sz w:val="20"/>
                <w:lang w:val="en-US"/>
              </w:rPr>
            </w:pPr>
            <w:r w:rsidRPr="00763947">
              <w:rPr>
                <w:rFonts w:ascii="Arial" w:hAnsi="Arial" w:cs="Arial"/>
                <w:sz w:val="20"/>
                <w:lang w:val="en-US"/>
              </w:rPr>
              <w:t>Compatibility with secondary services and other intentional radiators</w:t>
            </w:r>
          </w:p>
        </w:tc>
        <w:tc>
          <w:tcPr>
            <w:tcW w:w="4195" w:type="dxa"/>
            <w:tcBorders>
              <w:bottom w:val="single" w:sz="4" w:space="0" w:color="auto"/>
            </w:tcBorders>
          </w:tcPr>
          <w:p w:rsidR="002070A6" w:rsidRPr="00763947" w:rsidRDefault="002070A6" w:rsidP="00B91497">
            <w:pPr>
              <w:pStyle w:val="Tabletext"/>
              <w:jc w:val="left"/>
              <w:rPr>
                <w:rFonts w:ascii="Arial" w:hAnsi="Arial" w:cs="Arial"/>
                <w:sz w:val="20"/>
                <w:lang w:val="en-US"/>
              </w:rPr>
            </w:pPr>
            <w:r w:rsidRPr="00763947">
              <w:rPr>
                <w:rFonts w:ascii="Arial" w:hAnsi="Arial" w:cs="Arial"/>
                <w:sz w:val="20"/>
                <w:lang w:val="en-US"/>
              </w:rPr>
              <w:t>Including unwanted emissions and radiations</w:t>
            </w:r>
          </w:p>
          <w:p w:rsidR="002070A6" w:rsidRPr="00763947" w:rsidRDefault="00E3604D" w:rsidP="00B91497">
            <w:pPr>
              <w:pStyle w:val="Tabletext"/>
              <w:jc w:val="left"/>
              <w:rPr>
                <w:rFonts w:ascii="Arial" w:hAnsi="Arial" w:cs="Arial"/>
                <w:sz w:val="20"/>
                <w:lang w:val="en-US"/>
              </w:rPr>
            </w:pPr>
            <w:r>
              <w:rPr>
                <w:rFonts w:ascii="Arial" w:hAnsi="Arial" w:cs="Arial"/>
                <w:sz w:val="20"/>
              </w:rPr>
              <w:t xml:space="preserve">ITU-R </w:t>
            </w:r>
            <w:r w:rsidR="002070A6" w:rsidRPr="00763947">
              <w:rPr>
                <w:rFonts w:ascii="Arial" w:hAnsi="Arial" w:cs="Arial"/>
                <w:sz w:val="20"/>
                <w:lang w:val="en-US"/>
              </w:rPr>
              <w:t>F.1094</w:t>
            </w:r>
          </w:p>
        </w:tc>
      </w:tr>
      <w:tr w:rsidR="002070A6" w:rsidRPr="00763947" w:rsidTr="002070A6">
        <w:trPr>
          <w:jc w:val="center"/>
        </w:trPr>
        <w:tc>
          <w:tcPr>
            <w:tcW w:w="9637" w:type="dxa"/>
            <w:gridSpan w:val="4"/>
            <w:tcBorders>
              <w:left w:val="nil"/>
              <w:bottom w:val="nil"/>
              <w:right w:val="nil"/>
            </w:tcBorders>
            <w:vAlign w:val="center"/>
          </w:tcPr>
          <w:p w:rsidR="002070A6" w:rsidRPr="00763947" w:rsidRDefault="002070A6" w:rsidP="00207FAD">
            <w:pPr>
              <w:pStyle w:val="Tablelegend"/>
              <w:numPr>
                <w:ilvl w:val="0"/>
                <w:numId w:val="13"/>
              </w:numPr>
              <w:rPr>
                <w:rFonts w:ascii="Arial" w:hAnsi="Arial" w:cs="Arial"/>
                <w:vertAlign w:val="superscript"/>
                <w:lang w:val="en-US"/>
              </w:rPr>
            </w:pPr>
            <w:r w:rsidRPr="00763947">
              <w:rPr>
                <w:rFonts w:ascii="Arial" w:hAnsi="Arial" w:cs="Arial"/>
                <w:lang w:val="en-US"/>
              </w:rPr>
              <w:t xml:space="preserve">These values of </w:t>
            </w:r>
            <w:r w:rsidRPr="00763947">
              <w:rPr>
                <w:rFonts w:ascii="Arial" w:hAnsi="Arial" w:cs="Arial"/>
                <w:i/>
                <w:lang w:val="en-US"/>
              </w:rPr>
              <w:t>I/N</w:t>
            </w:r>
            <w:r w:rsidRPr="00763947">
              <w:rPr>
                <w:rFonts w:ascii="Arial" w:hAnsi="Arial" w:cs="Arial"/>
                <w:lang w:val="en-US"/>
              </w:rPr>
              <w:t xml:space="preserve"> apply to the aggregate interference from the operations of the shared service.</w:t>
            </w:r>
          </w:p>
        </w:tc>
      </w:tr>
    </w:tbl>
    <w:p w:rsidR="002070A6" w:rsidRPr="00763947" w:rsidRDefault="002070A6" w:rsidP="003260DE">
      <w:pPr>
        <w:jc w:val="left"/>
        <w:rPr>
          <w:rFonts w:ascii="Arial" w:hAnsi="Arial" w:cs="Arial"/>
          <w:sz w:val="22"/>
          <w:szCs w:val="22"/>
        </w:rPr>
      </w:pPr>
    </w:p>
    <w:p w:rsidR="00207FAD" w:rsidRPr="00763947" w:rsidRDefault="00207FAD" w:rsidP="00207FAD">
      <w:pPr>
        <w:tabs>
          <w:tab w:val="left" w:pos="1134"/>
          <w:tab w:val="left" w:pos="1871"/>
          <w:tab w:val="left" w:pos="2268"/>
        </w:tabs>
        <w:rPr>
          <w:rFonts w:ascii="Arial" w:hAnsi="Arial" w:cs="Arial"/>
          <w:sz w:val="22"/>
          <w:szCs w:val="22"/>
        </w:rPr>
      </w:pPr>
    </w:p>
    <w:p w:rsidR="00EE04E6" w:rsidRPr="00807D19" w:rsidRDefault="00EE04E6" w:rsidP="00EE04E6">
      <w:pPr>
        <w:pStyle w:val="Nincstrkz"/>
        <w:ind w:left="426" w:right="340"/>
        <w:jc w:val="both"/>
        <w:rPr>
          <w:rFonts w:ascii="Arial" w:hAnsi="Arial" w:cs="Arial"/>
          <w:b/>
          <w:lang w:val="en-US"/>
        </w:rPr>
      </w:pPr>
      <w:r w:rsidRPr="00807D19">
        <w:rPr>
          <w:rFonts w:ascii="Arial" w:hAnsi="Arial" w:cs="Arial"/>
          <w:b/>
          <w:lang w:val="en-US"/>
        </w:rPr>
        <w:t>References:</w:t>
      </w:r>
    </w:p>
    <w:p w:rsidR="00D90E3D" w:rsidRDefault="006B1B30" w:rsidP="00D428A2">
      <w:pPr>
        <w:pStyle w:val="Nincstrkz"/>
        <w:numPr>
          <w:ilvl w:val="0"/>
          <w:numId w:val="14"/>
        </w:numPr>
        <w:ind w:right="340"/>
        <w:jc w:val="both"/>
        <w:rPr>
          <w:rFonts w:ascii="Arial" w:hAnsi="Arial" w:cs="Arial"/>
          <w:lang w:val="en-US"/>
        </w:rPr>
      </w:pPr>
      <w:r w:rsidRPr="00D428A2">
        <w:rPr>
          <w:rFonts w:ascii="Arial" w:hAnsi="Arial" w:cs="Arial"/>
          <w:lang w:val="en-US"/>
        </w:rPr>
        <w:t>Radio Regulations</w:t>
      </w:r>
      <w:r w:rsidR="00EE04E6" w:rsidRPr="00807D19">
        <w:rPr>
          <w:rFonts w:ascii="Arial" w:hAnsi="Arial" w:cs="Arial"/>
          <w:lang w:val="en-US"/>
        </w:rPr>
        <w:t xml:space="preserve"> (Edition 2012)</w:t>
      </w:r>
    </w:p>
    <w:p w:rsidR="00D90E3D" w:rsidRDefault="00EE04E6" w:rsidP="00D428A2">
      <w:pPr>
        <w:pStyle w:val="Nincstrkz"/>
        <w:numPr>
          <w:ilvl w:val="0"/>
          <w:numId w:val="14"/>
        </w:numPr>
        <w:ind w:right="340"/>
        <w:jc w:val="both"/>
        <w:rPr>
          <w:rFonts w:ascii="Arial" w:hAnsi="Arial" w:cs="Arial"/>
          <w:lang w:val="en-US"/>
        </w:rPr>
      </w:pPr>
      <w:r w:rsidRPr="00807D19">
        <w:rPr>
          <w:rFonts w:ascii="Arial" w:hAnsi="Arial" w:cs="Arial"/>
          <w:lang w:val="en-US"/>
        </w:rPr>
        <w:t>ITU-R Recommendations (F)</w:t>
      </w:r>
    </w:p>
    <w:p w:rsidR="00D90E3D" w:rsidRDefault="00EE04E6" w:rsidP="00D428A2">
      <w:pPr>
        <w:pStyle w:val="Nincstrkz"/>
        <w:numPr>
          <w:ilvl w:val="0"/>
          <w:numId w:val="14"/>
        </w:numPr>
        <w:ind w:right="340"/>
        <w:jc w:val="both"/>
        <w:rPr>
          <w:rFonts w:ascii="Arial" w:hAnsi="Arial" w:cs="Arial"/>
          <w:lang w:val="en-US"/>
        </w:rPr>
      </w:pPr>
      <w:r w:rsidRPr="00807D19">
        <w:rPr>
          <w:rFonts w:ascii="Arial" w:hAnsi="Arial" w:cs="Arial"/>
          <w:lang w:val="en-US"/>
        </w:rPr>
        <w:t>ITU-R Reports (F)</w:t>
      </w:r>
    </w:p>
    <w:p w:rsidR="00207FAD" w:rsidRPr="002070A6" w:rsidRDefault="00207FAD" w:rsidP="003260DE">
      <w:pPr>
        <w:jc w:val="left"/>
        <w:rPr>
          <w:sz w:val="22"/>
          <w:szCs w:val="22"/>
        </w:rPr>
      </w:pPr>
    </w:p>
    <w:sectPr w:rsidR="00207FAD" w:rsidRPr="002070A6" w:rsidSect="002F1F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1A" w:rsidRDefault="002A4D1A" w:rsidP="001F201E">
      <w:pPr>
        <w:spacing w:before="0"/>
      </w:pPr>
      <w:r>
        <w:separator/>
      </w:r>
    </w:p>
  </w:endnote>
  <w:endnote w:type="continuationSeparator" w:id="0">
    <w:p w:rsidR="002A4D1A" w:rsidRDefault="002A4D1A" w:rsidP="001F20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1E" w:rsidRDefault="001F201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9560"/>
      <w:docPartObj>
        <w:docPartGallery w:val="Page Numbers (Bottom of Page)"/>
        <w:docPartUnique/>
      </w:docPartObj>
    </w:sdtPr>
    <w:sdtEndPr/>
    <w:sdtContent>
      <w:p w:rsidR="00FC5689" w:rsidRDefault="006B1B30">
        <w:pPr>
          <w:pStyle w:val="llb"/>
          <w:jc w:val="center"/>
        </w:pPr>
        <w:r>
          <w:fldChar w:fldCharType="begin"/>
        </w:r>
        <w:r w:rsidR="00FC5689">
          <w:instrText xml:space="preserve"> PAGE   \* MERGEFORMAT </w:instrText>
        </w:r>
        <w:r>
          <w:fldChar w:fldCharType="separate"/>
        </w:r>
        <w:r w:rsidR="001F58AA">
          <w:rPr>
            <w:noProof/>
          </w:rPr>
          <w:t>3</w:t>
        </w:r>
        <w:r>
          <w:fldChar w:fldCharType="end"/>
        </w:r>
      </w:p>
    </w:sdtContent>
  </w:sdt>
  <w:p w:rsidR="001F201E" w:rsidRDefault="001F201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1E" w:rsidRDefault="001F201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1A" w:rsidRDefault="002A4D1A" w:rsidP="001F201E">
      <w:pPr>
        <w:spacing w:before="0"/>
      </w:pPr>
      <w:r>
        <w:separator/>
      </w:r>
    </w:p>
  </w:footnote>
  <w:footnote w:type="continuationSeparator" w:id="0">
    <w:p w:rsidR="002A4D1A" w:rsidRDefault="002A4D1A" w:rsidP="001F201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1E" w:rsidRDefault="001F201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1E" w:rsidRDefault="001F201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1E" w:rsidRDefault="001F201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5488"/>
    <w:multiLevelType w:val="hybridMultilevel"/>
    <w:tmpl w:val="1EC857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9866205"/>
    <w:multiLevelType w:val="hybridMultilevel"/>
    <w:tmpl w:val="0DA865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F857390"/>
    <w:multiLevelType w:val="multilevel"/>
    <w:tmpl w:val="92486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71B69FB"/>
    <w:multiLevelType w:val="hybridMultilevel"/>
    <w:tmpl w:val="75E42B8E"/>
    <w:lvl w:ilvl="0" w:tplc="EBD03BAA">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F980FEB"/>
    <w:multiLevelType w:val="hybridMultilevel"/>
    <w:tmpl w:val="70C0E85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8AE3207"/>
    <w:multiLevelType w:val="hybridMultilevel"/>
    <w:tmpl w:val="BBECFC7C"/>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2D90410"/>
    <w:multiLevelType w:val="hybridMultilevel"/>
    <w:tmpl w:val="38CA1C1C"/>
    <w:lvl w:ilvl="0" w:tplc="E5CEB23C">
      <w:start w:val="1"/>
      <w:numFmt w:val="decimal"/>
      <w:lvlText w:val="%1"/>
      <w:lvlJc w:val="left"/>
      <w:pPr>
        <w:ind w:left="275" w:hanging="360"/>
      </w:pPr>
      <w:rPr>
        <w:rFonts w:hint="default"/>
      </w:rPr>
    </w:lvl>
    <w:lvl w:ilvl="1" w:tplc="040E0019" w:tentative="1">
      <w:start w:val="1"/>
      <w:numFmt w:val="lowerLetter"/>
      <w:lvlText w:val="%2."/>
      <w:lvlJc w:val="left"/>
      <w:pPr>
        <w:ind w:left="995" w:hanging="360"/>
      </w:pPr>
    </w:lvl>
    <w:lvl w:ilvl="2" w:tplc="040E001B" w:tentative="1">
      <w:start w:val="1"/>
      <w:numFmt w:val="lowerRoman"/>
      <w:lvlText w:val="%3."/>
      <w:lvlJc w:val="right"/>
      <w:pPr>
        <w:ind w:left="1715" w:hanging="180"/>
      </w:pPr>
    </w:lvl>
    <w:lvl w:ilvl="3" w:tplc="040E000F" w:tentative="1">
      <w:start w:val="1"/>
      <w:numFmt w:val="decimal"/>
      <w:lvlText w:val="%4."/>
      <w:lvlJc w:val="left"/>
      <w:pPr>
        <w:ind w:left="2435" w:hanging="360"/>
      </w:pPr>
    </w:lvl>
    <w:lvl w:ilvl="4" w:tplc="040E0019" w:tentative="1">
      <w:start w:val="1"/>
      <w:numFmt w:val="lowerLetter"/>
      <w:lvlText w:val="%5."/>
      <w:lvlJc w:val="left"/>
      <w:pPr>
        <w:ind w:left="3155" w:hanging="360"/>
      </w:pPr>
    </w:lvl>
    <w:lvl w:ilvl="5" w:tplc="040E001B" w:tentative="1">
      <w:start w:val="1"/>
      <w:numFmt w:val="lowerRoman"/>
      <w:lvlText w:val="%6."/>
      <w:lvlJc w:val="right"/>
      <w:pPr>
        <w:ind w:left="3875" w:hanging="180"/>
      </w:pPr>
    </w:lvl>
    <w:lvl w:ilvl="6" w:tplc="040E000F" w:tentative="1">
      <w:start w:val="1"/>
      <w:numFmt w:val="decimal"/>
      <w:lvlText w:val="%7."/>
      <w:lvlJc w:val="left"/>
      <w:pPr>
        <w:ind w:left="4595" w:hanging="360"/>
      </w:pPr>
    </w:lvl>
    <w:lvl w:ilvl="7" w:tplc="040E0019" w:tentative="1">
      <w:start w:val="1"/>
      <w:numFmt w:val="lowerLetter"/>
      <w:lvlText w:val="%8."/>
      <w:lvlJc w:val="left"/>
      <w:pPr>
        <w:ind w:left="5315" w:hanging="360"/>
      </w:pPr>
    </w:lvl>
    <w:lvl w:ilvl="8" w:tplc="040E001B" w:tentative="1">
      <w:start w:val="1"/>
      <w:numFmt w:val="lowerRoman"/>
      <w:lvlText w:val="%9."/>
      <w:lvlJc w:val="right"/>
      <w:pPr>
        <w:ind w:left="6035" w:hanging="180"/>
      </w:pPr>
    </w:lvl>
  </w:abstractNum>
  <w:abstractNum w:abstractNumId="7">
    <w:nsid w:val="633539BA"/>
    <w:multiLevelType w:val="multilevel"/>
    <w:tmpl w:val="0FE2AD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72A0A86"/>
    <w:multiLevelType w:val="hybridMultilevel"/>
    <w:tmpl w:val="C34EFEF0"/>
    <w:lvl w:ilvl="0" w:tplc="CC52E534">
      <w:start w:val="9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C3D3B06"/>
    <w:multiLevelType w:val="multilevel"/>
    <w:tmpl w:val="3D2C5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0DD0D79"/>
    <w:multiLevelType w:val="hybridMultilevel"/>
    <w:tmpl w:val="70C0E85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7787FC8"/>
    <w:multiLevelType w:val="hybridMultilevel"/>
    <w:tmpl w:val="8B2222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8B50318"/>
    <w:multiLevelType w:val="hybridMultilevel"/>
    <w:tmpl w:val="C7605D50"/>
    <w:lvl w:ilvl="0" w:tplc="635C2904">
      <w:start w:val="1"/>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FF403DA"/>
    <w:multiLevelType w:val="hybridMultilevel"/>
    <w:tmpl w:val="A7C48D06"/>
    <w:lvl w:ilvl="0" w:tplc="F5B48F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3"/>
  </w:num>
  <w:num w:numId="5">
    <w:abstractNumId w:val="9"/>
  </w:num>
  <w:num w:numId="6">
    <w:abstractNumId w:val="10"/>
  </w:num>
  <w:num w:numId="7">
    <w:abstractNumId w:val="13"/>
  </w:num>
  <w:num w:numId="8">
    <w:abstractNumId w:val="7"/>
  </w:num>
  <w:num w:numId="9">
    <w:abstractNumId w:val="12"/>
  </w:num>
  <w:num w:numId="10">
    <w:abstractNumId w:val="1"/>
  </w:num>
  <w:num w:numId="11">
    <w:abstractNumId w:val="11"/>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D3"/>
    <w:rsid w:val="00003EA3"/>
    <w:rsid w:val="00004265"/>
    <w:rsid w:val="000103CA"/>
    <w:rsid w:val="00046036"/>
    <w:rsid w:val="00056F3C"/>
    <w:rsid w:val="000636BF"/>
    <w:rsid w:val="00063DC3"/>
    <w:rsid w:val="0007277C"/>
    <w:rsid w:val="0008437B"/>
    <w:rsid w:val="00094DFA"/>
    <w:rsid w:val="000A2F21"/>
    <w:rsid w:val="000E3FD6"/>
    <w:rsid w:val="000E54D5"/>
    <w:rsid w:val="000E7AB5"/>
    <w:rsid w:val="000F562A"/>
    <w:rsid w:val="0011676F"/>
    <w:rsid w:val="00191E6A"/>
    <w:rsid w:val="001A7D63"/>
    <w:rsid w:val="001C3501"/>
    <w:rsid w:val="001C47F0"/>
    <w:rsid w:val="001C5CA3"/>
    <w:rsid w:val="001F01D8"/>
    <w:rsid w:val="001F0661"/>
    <w:rsid w:val="001F201E"/>
    <w:rsid w:val="001F58AA"/>
    <w:rsid w:val="002070A6"/>
    <w:rsid w:val="002078C0"/>
    <w:rsid w:val="00207FAD"/>
    <w:rsid w:val="00283121"/>
    <w:rsid w:val="002A4D1A"/>
    <w:rsid w:val="002D7E81"/>
    <w:rsid w:val="002E0E1B"/>
    <w:rsid w:val="002F1F30"/>
    <w:rsid w:val="00306EBE"/>
    <w:rsid w:val="00315998"/>
    <w:rsid w:val="003212F9"/>
    <w:rsid w:val="003260DE"/>
    <w:rsid w:val="0033469D"/>
    <w:rsid w:val="003448CA"/>
    <w:rsid w:val="0036093B"/>
    <w:rsid w:val="00384755"/>
    <w:rsid w:val="00397EDC"/>
    <w:rsid w:val="003A28D3"/>
    <w:rsid w:val="003A424A"/>
    <w:rsid w:val="003C101B"/>
    <w:rsid w:val="003C3D7D"/>
    <w:rsid w:val="004123A0"/>
    <w:rsid w:val="004144CE"/>
    <w:rsid w:val="00432B81"/>
    <w:rsid w:val="004457D6"/>
    <w:rsid w:val="00482B4E"/>
    <w:rsid w:val="004930F8"/>
    <w:rsid w:val="004F4CB7"/>
    <w:rsid w:val="004F6630"/>
    <w:rsid w:val="00532716"/>
    <w:rsid w:val="0054080C"/>
    <w:rsid w:val="00567577"/>
    <w:rsid w:val="0057377D"/>
    <w:rsid w:val="00576726"/>
    <w:rsid w:val="0057737D"/>
    <w:rsid w:val="00577E95"/>
    <w:rsid w:val="0059487B"/>
    <w:rsid w:val="005C2356"/>
    <w:rsid w:val="006417F9"/>
    <w:rsid w:val="00644EB5"/>
    <w:rsid w:val="00645DB2"/>
    <w:rsid w:val="00665601"/>
    <w:rsid w:val="0067622C"/>
    <w:rsid w:val="006929CF"/>
    <w:rsid w:val="006B1B30"/>
    <w:rsid w:val="006B589B"/>
    <w:rsid w:val="0070206A"/>
    <w:rsid w:val="00716971"/>
    <w:rsid w:val="00752AA0"/>
    <w:rsid w:val="00753FBE"/>
    <w:rsid w:val="0075661A"/>
    <w:rsid w:val="007626EE"/>
    <w:rsid w:val="00763947"/>
    <w:rsid w:val="0076429C"/>
    <w:rsid w:val="00764BDC"/>
    <w:rsid w:val="00785A24"/>
    <w:rsid w:val="007C2C75"/>
    <w:rsid w:val="007D295E"/>
    <w:rsid w:val="007E7937"/>
    <w:rsid w:val="00823040"/>
    <w:rsid w:val="008273EA"/>
    <w:rsid w:val="008375AF"/>
    <w:rsid w:val="00844932"/>
    <w:rsid w:val="008F3BF3"/>
    <w:rsid w:val="00902374"/>
    <w:rsid w:val="00984FA2"/>
    <w:rsid w:val="009C28A8"/>
    <w:rsid w:val="009E5EB5"/>
    <w:rsid w:val="00A00C87"/>
    <w:rsid w:val="00A17666"/>
    <w:rsid w:val="00A43735"/>
    <w:rsid w:val="00A57F80"/>
    <w:rsid w:val="00A72794"/>
    <w:rsid w:val="00A76980"/>
    <w:rsid w:val="00A84B39"/>
    <w:rsid w:val="00A91D48"/>
    <w:rsid w:val="00B14944"/>
    <w:rsid w:val="00B544BB"/>
    <w:rsid w:val="00B94659"/>
    <w:rsid w:val="00BB583B"/>
    <w:rsid w:val="00BD54A0"/>
    <w:rsid w:val="00BD6258"/>
    <w:rsid w:val="00BE775B"/>
    <w:rsid w:val="00C530B6"/>
    <w:rsid w:val="00C56A8D"/>
    <w:rsid w:val="00C82C27"/>
    <w:rsid w:val="00C83E77"/>
    <w:rsid w:val="00C9262D"/>
    <w:rsid w:val="00C97856"/>
    <w:rsid w:val="00CF66DA"/>
    <w:rsid w:val="00D41A4B"/>
    <w:rsid w:val="00D428A2"/>
    <w:rsid w:val="00D75FEE"/>
    <w:rsid w:val="00D815B8"/>
    <w:rsid w:val="00D87843"/>
    <w:rsid w:val="00D90E3D"/>
    <w:rsid w:val="00DA69EE"/>
    <w:rsid w:val="00DE6F02"/>
    <w:rsid w:val="00DF52EF"/>
    <w:rsid w:val="00E15CB0"/>
    <w:rsid w:val="00E222C3"/>
    <w:rsid w:val="00E3604D"/>
    <w:rsid w:val="00E63097"/>
    <w:rsid w:val="00E66BE0"/>
    <w:rsid w:val="00E70E52"/>
    <w:rsid w:val="00E85D79"/>
    <w:rsid w:val="00EA38CC"/>
    <w:rsid w:val="00EB4938"/>
    <w:rsid w:val="00EE04E6"/>
    <w:rsid w:val="00F13476"/>
    <w:rsid w:val="00F13672"/>
    <w:rsid w:val="00F167DC"/>
    <w:rsid w:val="00F16A7F"/>
    <w:rsid w:val="00F171C5"/>
    <w:rsid w:val="00F54A7E"/>
    <w:rsid w:val="00F60376"/>
    <w:rsid w:val="00F665F6"/>
    <w:rsid w:val="00F83824"/>
    <w:rsid w:val="00F85205"/>
    <w:rsid w:val="00FA7AF9"/>
    <w:rsid w:val="00FC5689"/>
    <w:rsid w:val="00FF2908"/>
    <w:rsid w:val="00FF62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70A6"/>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fr-FR"/>
    </w:rPr>
  </w:style>
  <w:style w:type="paragraph" w:styleId="Cmsor1">
    <w:name w:val="heading 1"/>
    <w:basedOn w:val="Norml"/>
    <w:next w:val="Norml"/>
    <w:link w:val="berschrift1Zchn"/>
    <w:uiPriority w:val="9"/>
    <w:qFormat/>
    <w:rsid w:val="00F85205"/>
    <w:pPr>
      <w:keepNext/>
      <w:keepLines/>
      <w:tabs>
        <w:tab w:val="clear" w:pos="794"/>
        <w:tab w:val="clear" w:pos="1191"/>
        <w:tab w:val="clear" w:pos="1588"/>
        <w:tab w:val="clear" w:pos="1985"/>
      </w:tabs>
      <w:overflowPunct/>
      <w:autoSpaceDE/>
      <w:autoSpaceDN/>
      <w:adjustRightInd/>
      <w:spacing w:before="480" w:line="276" w:lineRule="auto"/>
      <w:jc w:val="left"/>
      <w:textAlignment w:val="auto"/>
      <w:outlineLvl w:val="0"/>
    </w:pPr>
    <w:rPr>
      <w:rFonts w:asciiTheme="majorHAnsi" w:eastAsiaTheme="majorEastAsia" w:hAnsiTheme="majorHAnsi" w:cstheme="majorBidi"/>
      <w:b/>
      <w:bCs/>
      <w:color w:val="365F91" w:themeColor="accent1" w:themeShade="BF"/>
      <w:sz w:val="28"/>
      <w:szCs w:val="28"/>
      <w:lang w:val="en-GB"/>
    </w:rPr>
  </w:style>
  <w:style w:type="paragraph" w:styleId="Cmsor2">
    <w:name w:val="heading 2"/>
    <w:aliases w:val="l2,h2"/>
    <w:basedOn w:val="Norml"/>
    <w:next w:val="Norml"/>
    <w:link w:val="berschrift2Zchn"/>
    <w:qFormat/>
    <w:rsid w:val="00F85205"/>
    <w:pPr>
      <w:keepNext/>
      <w:keepLines/>
      <w:tabs>
        <w:tab w:val="clear" w:pos="794"/>
        <w:tab w:val="clear" w:pos="1191"/>
        <w:tab w:val="clear" w:pos="1588"/>
        <w:tab w:val="clear" w:pos="1985"/>
        <w:tab w:val="left" w:pos="1134"/>
        <w:tab w:val="left" w:pos="1871"/>
        <w:tab w:val="left" w:pos="2268"/>
      </w:tabs>
      <w:spacing w:before="200"/>
      <w:ind w:left="1134" w:hanging="1134"/>
      <w:jc w:val="left"/>
      <w:outlineLvl w:val="1"/>
    </w:pPr>
    <w:rPr>
      <w:b/>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72794"/>
    <w:pPr>
      <w:spacing w:after="0" w:line="240" w:lineRule="auto"/>
    </w:pPr>
  </w:style>
  <w:style w:type="paragraph" w:customStyle="1" w:styleId="Equation">
    <w:name w:val="Equation"/>
    <w:basedOn w:val="Norml"/>
    <w:link w:val="EquationChar"/>
    <w:rsid w:val="008375AF"/>
    <w:pPr>
      <w:tabs>
        <w:tab w:val="clear" w:pos="794"/>
        <w:tab w:val="clear" w:pos="1191"/>
        <w:tab w:val="clear" w:pos="1588"/>
        <w:tab w:val="clear" w:pos="1985"/>
        <w:tab w:val="left" w:pos="1134"/>
        <w:tab w:val="center" w:pos="4820"/>
        <w:tab w:val="right" w:pos="9639"/>
      </w:tabs>
      <w:jc w:val="left"/>
    </w:pPr>
    <w:rPr>
      <w:lang w:val="en-GB"/>
    </w:rPr>
  </w:style>
  <w:style w:type="character" w:customStyle="1" w:styleId="EquationChar">
    <w:name w:val="Equation Char"/>
    <w:link w:val="Equation"/>
    <w:uiPriority w:val="99"/>
    <w:locked/>
    <w:rsid w:val="008375AF"/>
    <w:rPr>
      <w:rFonts w:ascii="Times New Roman" w:eastAsia="Times New Roman" w:hAnsi="Times New Roman" w:cs="Times New Roman"/>
      <w:sz w:val="24"/>
      <w:szCs w:val="20"/>
      <w:lang w:val="en-GB"/>
    </w:rPr>
  </w:style>
  <w:style w:type="paragraph" w:styleId="Buborkszveg">
    <w:name w:val="Balloon Text"/>
    <w:basedOn w:val="Norml"/>
    <w:link w:val="SprechblasentextZchn"/>
    <w:uiPriority w:val="99"/>
    <w:semiHidden/>
    <w:unhideWhenUsed/>
    <w:rsid w:val="008375AF"/>
    <w:pPr>
      <w:tabs>
        <w:tab w:val="clear" w:pos="794"/>
        <w:tab w:val="clear" w:pos="1191"/>
        <w:tab w:val="clear" w:pos="1588"/>
        <w:tab w:val="clear" w:pos="1985"/>
      </w:tabs>
      <w:overflowPunct/>
      <w:autoSpaceDE/>
      <w:autoSpaceDN/>
      <w:adjustRightInd/>
      <w:spacing w:before="0"/>
      <w:jc w:val="left"/>
      <w:textAlignment w:val="auto"/>
    </w:pPr>
    <w:rPr>
      <w:rFonts w:ascii="Tahoma" w:eastAsiaTheme="minorHAnsi" w:hAnsi="Tahoma" w:cs="Tahoma"/>
      <w:sz w:val="16"/>
      <w:szCs w:val="16"/>
      <w:lang w:val="en-GB"/>
    </w:rPr>
  </w:style>
  <w:style w:type="character" w:customStyle="1" w:styleId="SprechblasentextZchn">
    <w:name w:val="Sprechblasentext Zchn"/>
    <w:basedOn w:val="Bekezdsalapbettpusa"/>
    <w:link w:val="Buborkszveg"/>
    <w:uiPriority w:val="99"/>
    <w:semiHidden/>
    <w:rsid w:val="008375AF"/>
    <w:rPr>
      <w:rFonts w:ascii="Tahoma" w:hAnsi="Tahoma" w:cs="Tahoma"/>
      <w:sz w:val="16"/>
      <w:szCs w:val="16"/>
      <w:lang w:val="en-GB"/>
    </w:rPr>
  </w:style>
  <w:style w:type="paragraph" w:styleId="llb">
    <w:name w:val="footer"/>
    <w:basedOn w:val="Norml"/>
    <w:link w:val="FuzeileZchn"/>
    <w:uiPriority w:val="99"/>
    <w:rsid w:val="0076429C"/>
    <w:pPr>
      <w:widowControl w:val="0"/>
      <w:tabs>
        <w:tab w:val="center" w:pos="4536"/>
        <w:tab w:val="right" w:pos="9072"/>
      </w:tabs>
      <w:suppressAutoHyphens/>
    </w:pPr>
    <w:rPr>
      <w:sz w:val="20"/>
      <w:lang w:val="en-US" w:eastAsia="ar-SA"/>
    </w:rPr>
  </w:style>
  <w:style w:type="character" w:customStyle="1" w:styleId="FuzeileZchn">
    <w:name w:val="Fußzeile Zchn"/>
    <w:basedOn w:val="Bekezdsalapbettpusa"/>
    <w:link w:val="llb"/>
    <w:uiPriority w:val="99"/>
    <w:rsid w:val="0076429C"/>
    <w:rPr>
      <w:rFonts w:ascii="Times New Roman" w:eastAsia="Times New Roman" w:hAnsi="Times New Roman" w:cs="Times New Roman"/>
      <w:sz w:val="20"/>
      <w:szCs w:val="20"/>
      <w:lang w:val="en-US" w:eastAsia="ar-SA"/>
    </w:rPr>
  </w:style>
  <w:style w:type="paragraph" w:customStyle="1" w:styleId="Equationlegend">
    <w:name w:val="Equation_legend"/>
    <w:basedOn w:val="Normlbehzs"/>
    <w:rsid w:val="00283121"/>
    <w:pPr>
      <w:tabs>
        <w:tab w:val="right" w:pos="1701"/>
        <w:tab w:val="left" w:pos="1985"/>
      </w:tabs>
      <w:overflowPunct w:val="0"/>
      <w:autoSpaceDE w:val="0"/>
      <w:autoSpaceDN w:val="0"/>
      <w:adjustRightInd w:val="0"/>
      <w:spacing w:before="80" w:after="0" w:line="240" w:lineRule="auto"/>
      <w:ind w:left="1985" w:hanging="1985"/>
      <w:jc w:val="both"/>
      <w:textAlignment w:val="baseline"/>
    </w:pPr>
    <w:rPr>
      <w:rFonts w:ascii="Times New Roman" w:eastAsia="Times New Roman" w:hAnsi="Times New Roman" w:cs="Times New Roman"/>
      <w:sz w:val="24"/>
      <w:szCs w:val="20"/>
      <w:lang w:val="en-US"/>
    </w:rPr>
  </w:style>
  <w:style w:type="paragraph" w:customStyle="1" w:styleId="Blanc">
    <w:name w:val="Blanc"/>
    <w:basedOn w:val="Norml"/>
    <w:next w:val="Norml"/>
    <w:rsid w:val="00283121"/>
    <w:pPr>
      <w:keepNext/>
      <w:keepLines/>
      <w:tabs>
        <w:tab w:val="clear" w:pos="794"/>
        <w:tab w:val="clear" w:pos="1191"/>
        <w:tab w:val="clear" w:pos="1588"/>
        <w:tab w:val="clear" w:pos="1985"/>
      </w:tabs>
      <w:spacing w:before="0"/>
    </w:pPr>
    <w:rPr>
      <w:sz w:val="16"/>
      <w:lang w:val="en-GB"/>
    </w:rPr>
  </w:style>
  <w:style w:type="paragraph" w:styleId="Normlbehzs">
    <w:name w:val="Normal Indent"/>
    <w:basedOn w:val="Norml"/>
    <w:uiPriority w:val="99"/>
    <w:semiHidden/>
    <w:unhideWhenUsed/>
    <w:rsid w:val="00283121"/>
    <w:pPr>
      <w:tabs>
        <w:tab w:val="clear" w:pos="794"/>
        <w:tab w:val="clear" w:pos="1191"/>
        <w:tab w:val="clear" w:pos="1588"/>
        <w:tab w:val="clear" w:pos="1985"/>
      </w:tabs>
      <w:overflowPunct/>
      <w:autoSpaceDE/>
      <w:autoSpaceDN/>
      <w:adjustRightInd/>
      <w:spacing w:before="0" w:after="200" w:line="276" w:lineRule="auto"/>
      <w:ind w:left="708"/>
      <w:jc w:val="left"/>
      <w:textAlignment w:val="auto"/>
    </w:pPr>
    <w:rPr>
      <w:rFonts w:asciiTheme="minorHAnsi" w:eastAsiaTheme="minorHAnsi" w:hAnsiTheme="minorHAnsi" w:cstheme="minorBidi"/>
      <w:sz w:val="22"/>
      <w:szCs w:val="22"/>
      <w:lang w:val="en-GB"/>
    </w:rPr>
  </w:style>
  <w:style w:type="paragraph" w:styleId="Listaszerbekezds">
    <w:name w:val="List Paragraph"/>
    <w:basedOn w:val="Norml"/>
    <w:uiPriority w:val="34"/>
    <w:qFormat/>
    <w:rsid w:val="00283121"/>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HAnsi" w:hAnsiTheme="minorHAnsi" w:cstheme="minorBidi"/>
      <w:sz w:val="22"/>
      <w:szCs w:val="22"/>
      <w:lang w:val="en-GB"/>
    </w:rPr>
  </w:style>
  <w:style w:type="character" w:customStyle="1" w:styleId="berschrift2Zchn">
    <w:name w:val="Überschrift 2 Zchn"/>
    <w:aliases w:val="l2 Zchn,h2 Zchn"/>
    <w:basedOn w:val="Bekezdsalapbettpusa"/>
    <w:link w:val="Cmsor2"/>
    <w:rsid w:val="00F85205"/>
    <w:rPr>
      <w:rFonts w:ascii="Times New Roman" w:eastAsia="Times New Roman" w:hAnsi="Times New Roman" w:cs="Times New Roman"/>
      <w:b/>
      <w:sz w:val="24"/>
      <w:szCs w:val="20"/>
      <w:lang w:val="en-GB"/>
    </w:rPr>
  </w:style>
  <w:style w:type="paragraph" w:customStyle="1" w:styleId="FigureNo">
    <w:name w:val="Figure_No"/>
    <w:basedOn w:val="Norml"/>
    <w:next w:val="Norml"/>
    <w:link w:val="FigureNoChar"/>
    <w:uiPriority w:val="99"/>
    <w:rsid w:val="00F85205"/>
    <w:pPr>
      <w:keepNext/>
      <w:keepLines/>
      <w:tabs>
        <w:tab w:val="left" w:pos="1134"/>
        <w:tab w:val="left" w:pos="1871"/>
        <w:tab w:val="left" w:pos="2268"/>
      </w:tabs>
      <w:spacing w:before="480" w:after="120"/>
      <w:jc w:val="center"/>
    </w:pPr>
    <w:rPr>
      <w:caps/>
      <w:sz w:val="20"/>
    </w:rPr>
  </w:style>
  <w:style w:type="character" w:customStyle="1" w:styleId="FigureNoChar">
    <w:name w:val="Figure_No Char"/>
    <w:link w:val="FigureNo"/>
    <w:uiPriority w:val="99"/>
    <w:locked/>
    <w:rsid w:val="00F85205"/>
    <w:rPr>
      <w:rFonts w:ascii="Times New Roman" w:eastAsia="Times New Roman" w:hAnsi="Times New Roman" w:cs="Times New Roman"/>
      <w:caps/>
      <w:sz w:val="20"/>
      <w:szCs w:val="20"/>
      <w:lang w:val="en-GB"/>
    </w:rPr>
  </w:style>
  <w:style w:type="paragraph" w:customStyle="1" w:styleId="Figuretitle">
    <w:name w:val="Figure_title"/>
    <w:basedOn w:val="Norml"/>
    <w:next w:val="Norml"/>
    <w:link w:val="FiguretitleChar"/>
    <w:uiPriority w:val="99"/>
    <w:rsid w:val="00F85205"/>
    <w:pPr>
      <w:keepNext/>
      <w:keepLines/>
      <w:tabs>
        <w:tab w:val="left" w:pos="1134"/>
        <w:tab w:val="left" w:pos="1871"/>
        <w:tab w:val="left" w:pos="2268"/>
      </w:tabs>
      <w:spacing w:after="480"/>
      <w:jc w:val="center"/>
    </w:pPr>
    <w:rPr>
      <w:rFonts w:ascii="Times New Roman Bold" w:hAnsi="Times New Roman Bold"/>
      <w:b/>
      <w:sz w:val="20"/>
    </w:rPr>
  </w:style>
  <w:style w:type="character" w:customStyle="1" w:styleId="FiguretitleChar">
    <w:name w:val="Figure_title Char"/>
    <w:link w:val="Figuretitle"/>
    <w:uiPriority w:val="99"/>
    <w:locked/>
    <w:rsid w:val="00F85205"/>
    <w:rPr>
      <w:rFonts w:ascii="Times New Roman Bold" w:eastAsia="Times New Roman" w:hAnsi="Times New Roman Bold" w:cs="Times New Roman"/>
      <w:b/>
      <w:sz w:val="20"/>
      <w:szCs w:val="20"/>
      <w:lang w:val="en-GB"/>
    </w:rPr>
  </w:style>
  <w:style w:type="character" w:customStyle="1" w:styleId="berschrift1Zchn">
    <w:name w:val="Überschrift 1 Zchn"/>
    <w:basedOn w:val="Bekezdsalapbettpusa"/>
    <w:link w:val="Cmsor1"/>
    <w:uiPriority w:val="9"/>
    <w:rsid w:val="00F85205"/>
    <w:rPr>
      <w:rFonts w:asciiTheme="majorHAnsi" w:eastAsiaTheme="majorEastAsia" w:hAnsiTheme="majorHAnsi" w:cstheme="majorBidi"/>
      <w:b/>
      <w:bCs/>
      <w:color w:val="365F91" w:themeColor="accent1" w:themeShade="BF"/>
      <w:sz w:val="28"/>
      <w:szCs w:val="28"/>
      <w:lang w:val="en-GB"/>
    </w:rPr>
  </w:style>
  <w:style w:type="paragraph" w:customStyle="1" w:styleId="enumlev1">
    <w:name w:val="enumlev1"/>
    <w:basedOn w:val="Norml"/>
    <w:link w:val="enumlev1Char"/>
    <w:rsid w:val="002070A6"/>
    <w:pPr>
      <w:spacing w:before="80"/>
      <w:ind w:left="794" w:hanging="794"/>
    </w:pPr>
  </w:style>
  <w:style w:type="character" w:customStyle="1" w:styleId="enumlev1Char">
    <w:name w:val="enumlev1 Char"/>
    <w:basedOn w:val="Bekezdsalapbettpusa"/>
    <w:link w:val="enumlev1"/>
    <w:locked/>
    <w:rsid w:val="002070A6"/>
    <w:rPr>
      <w:rFonts w:ascii="Times New Roman" w:eastAsia="Times New Roman" w:hAnsi="Times New Roman" w:cs="Times New Roman"/>
      <w:sz w:val="24"/>
      <w:szCs w:val="20"/>
      <w:lang w:val="fr-FR"/>
    </w:rPr>
  </w:style>
  <w:style w:type="paragraph" w:customStyle="1" w:styleId="Note">
    <w:name w:val="Note"/>
    <w:basedOn w:val="Norml"/>
    <w:rsid w:val="002070A6"/>
    <w:pPr>
      <w:tabs>
        <w:tab w:val="clear" w:pos="794"/>
        <w:tab w:val="clear" w:pos="1191"/>
        <w:tab w:val="clear" w:pos="1588"/>
        <w:tab w:val="clear" w:pos="1985"/>
      </w:tabs>
      <w:spacing w:before="80"/>
    </w:pPr>
    <w:rPr>
      <w:sz w:val="22"/>
    </w:rPr>
  </w:style>
  <w:style w:type="paragraph" w:customStyle="1" w:styleId="Tablehead">
    <w:name w:val="Table_head"/>
    <w:basedOn w:val="Norml"/>
    <w:next w:val="Norml"/>
    <w:rsid w:val="002070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l"/>
    <w:rsid w:val="002070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text">
    <w:name w:val="Table_text"/>
    <w:basedOn w:val="Norml"/>
    <w:link w:val="TabletextChar"/>
    <w:rsid w:val="002070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Bekezdsalapbettpusa"/>
    <w:link w:val="Tabletext"/>
    <w:locked/>
    <w:rsid w:val="002070A6"/>
    <w:rPr>
      <w:rFonts w:ascii="Times New Roman" w:eastAsia="Times New Roman" w:hAnsi="Times New Roman" w:cs="Times New Roman"/>
      <w:szCs w:val="20"/>
      <w:lang w:val="fr-FR"/>
    </w:rPr>
  </w:style>
  <w:style w:type="paragraph" w:customStyle="1" w:styleId="TableNo">
    <w:name w:val="Table_No"/>
    <w:basedOn w:val="Norml"/>
    <w:next w:val="Norml"/>
    <w:rsid w:val="002070A6"/>
    <w:pPr>
      <w:keepNext/>
      <w:spacing w:before="360" w:after="120"/>
      <w:jc w:val="center"/>
    </w:pPr>
  </w:style>
  <w:style w:type="paragraph" w:customStyle="1" w:styleId="Tabletitle">
    <w:name w:val="Table_title"/>
    <w:basedOn w:val="Norml"/>
    <w:next w:val="Tablehead"/>
    <w:rsid w:val="002070A6"/>
    <w:pPr>
      <w:keepNext/>
      <w:spacing w:before="0" w:after="120"/>
      <w:jc w:val="center"/>
    </w:pPr>
    <w:rPr>
      <w:b/>
    </w:rPr>
  </w:style>
  <w:style w:type="paragraph" w:styleId="lfej">
    <w:name w:val="header"/>
    <w:basedOn w:val="Norml"/>
    <w:link w:val="KopfzeileZchn"/>
    <w:uiPriority w:val="99"/>
    <w:semiHidden/>
    <w:unhideWhenUsed/>
    <w:rsid w:val="001F201E"/>
    <w:pPr>
      <w:tabs>
        <w:tab w:val="clear" w:pos="794"/>
        <w:tab w:val="clear" w:pos="1191"/>
        <w:tab w:val="clear" w:pos="1588"/>
        <w:tab w:val="clear" w:pos="1985"/>
        <w:tab w:val="center" w:pos="4536"/>
        <w:tab w:val="right" w:pos="9072"/>
      </w:tabs>
      <w:spacing w:before="0"/>
    </w:pPr>
  </w:style>
  <w:style w:type="character" w:customStyle="1" w:styleId="KopfzeileZchn">
    <w:name w:val="Kopfzeile Zchn"/>
    <w:basedOn w:val="Bekezdsalapbettpusa"/>
    <w:link w:val="lfej"/>
    <w:uiPriority w:val="99"/>
    <w:semiHidden/>
    <w:rsid w:val="001F201E"/>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70A6"/>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fr-FR"/>
    </w:rPr>
  </w:style>
  <w:style w:type="paragraph" w:styleId="Cmsor1">
    <w:name w:val="heading 1"/>
    <w:basedOn w:val="Norml"/>
    <w:next w:val="Norml"/>
    <w:link w:val="berschrift1Zchn"/>
    <w:uiPriority w:val="9"/>
    <w:qFormat/>
    <w:rsid w:val="00F85205"/>
    <w:pPr>
      <w:keepNext/>
      <w:keepLines/>
      <w:tabs>
        <w:tab w:val="clear" w:pos="794"/>
        <w:tab w:val="clear" w:pos="1191"/>
        <w:tab w:val="clear" w:pos="1588"/>
        <w:tab w:val="clear" w:pos="1985"/>
      </w:tabs>
      <w:overflowPunct/>
      <w:autoSpaceDE/>
      <w:autoSpaceDN/>
      <w:adjustRightInd/>
      <w:spacing w:before="480" w:line="276" w:lineRule="auto"/>
      <w:jc w:val="left"/>
      <w:textAlignment w:val="auto"/>
      <w:outlineLvl w:val="0"/>
    </w:pPr>
    <w:rPr>
      <w:rFonts w:asciiTheme="majorHAnsi" w:eastAsiaTheme="majorEastAsia" w:hAnsiTheme="majorHAnsi" w:cstheme="majorBidi"/>
      <w:b/>
      <w:bCs/>
      <w:color w:val="365F91" w:themeColor="accent1" w:themeShade="BF"/>
      <w:sz w:val="28"/>
      <w:szCs w:val="28"/>
      <w:lang w:val="en-GB"/>
    </w:rPr>
  </w:style>
  <w:style w:type="paragraph" w:styleId="Cmsor2">
    <w:name w:val="heading 2"/>
    <w:aliases w:val="l2,h2"/>
    <w:basedOn w:val="Norml"/>
    <w:next w:val="Norml"/>
    <w:link w:val="berschrift2Zchn"/>
    <w:qFormat/>
    <w:rsid w:val="00F85205"/>
    <w:pPr>
      <w:keepNext/>
      <w:keepLines/>
      <w:tabs>
        <w:tab w:val="clear" w:pos="794"/>
        <w:tab w:val="clear" w:pos="1191"/>
        <w:tab w:val="clear" w:pos="1588"/>
        <w:tab w:val="clear" w:pos="1985"/>
        <w:tab w:val="left" w:pos="1134"/>
        <w:tab w:val="left" w:pos="1871"/>
        <w:tab w:val="left" w:pos="2268"/>
      </w:tabs>
      <w:spacing w:before="200"/>
      <w:ind w:left="1134" w:hanging="1134"/>
      <w:jc w:val="left"/>
      <w:outlineLvl w:val="1"/>
    </w:pPr>
    <w:rPr>
      <w:b/>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72794"/>
    <w:pPr>
      <w:spacing w:after="0" w:line="240" w:lineRule="auto"/>
    </w:pPr>
  </w:style>
  <w:style w:type="paragraph" w:customStyle="1" w:styleId="Equation">
    <w:name w:val="Equation"/>
    <w:basedOn w:val="Norml"/>
    <w:link w:val="EquationChar"/>
    <w:rsid w:val="008375AF"/>
    <w:pPr>
      <w:tabs>
        <w:tab w:val="clear" w:pos="794"/>
        <w:tab w:val="clear" w:pos="1191"/>
        <w:tab w:val="clear" w:pos="1588"/>
        <w:tab w:val="clear" w:pos="1985"/>
        <w:tab w:val="left" w:pos="1134"/>
        <w:tab w:val="center" w:pos="4820"/>
        <w:tab w:val="right" w:pos="9639"/>
      </w:tabs>
      <w:jc w:val="left"/>
    </w:pPr>
    <w:rPr>
      <w:lang w:val="en-GB"/>
    </w:rPr>
  </w:style>
  <w:style w:type="character" w:customStyle="1" w:styleId="EquationChar">
    <w:name w:val="Equation Char"/>
    <w:link w:val="Equation"/>
    <w:uiPriority w:val="99"/>
    <w:locked/>
    <w:rsid w:val="008375AF"/>
    <w:rPr>
      <w:rFonts w:ascii="Times New Roman" w:eastAsia="Times New Roman" w:hAnsi="Times New Roman" w:cs="Times New Roman"/>
      <w:sz w:val="24"/>
      <w:szCs w:val="20"/>
      <w:lang w:val="en-GB"/>
    </w:rPr>
  </w:style>
  <w:style w:type="paragraph" w:styleId="Buborkszveg">
    <w:name w:val="Balloon Text"/>
    <w:basedOn w:val="Norml"/>
    <w:link w:val="SprechblasentextZchn"/>
    <w:uiPriority w:val="99"/>
    <w:semiHidden/>
    <w:unhideWhenUsed/>
    <w:rsid w:val="008375AF"/>
    <w:pPr>
      <w:tabs>
        <w:tab w:val="clear" w:pos="794"/>
        <w:tab w:val="clear" w:pos="1191"/>
        <w:tab w:val="clear" w:pos="1588"/>
        <w:tab w:val="clear" w:pos="1985"/>
      </w:tabs>
      <w:overflowPunct/>
      <w:autoSpaceDE/>
      <w:autoSpaceDN/>
      <w:adjustRightInd/>
      <w:spacing w:before="0"/>
      <w:jc w:val="left"/>
      <w:textAlignment w:val="auto"/>
    </w:pPr>
    <w:rPr>
      <w:rFonts w:ascii="Tahoma" w:eastAsiaTheme="minorHAnsi" w:hAnsi="Tahoma" w:cs="Tahoma"/>
      <w:sz w:val="16"/>
      <w:szCs w:val="16"/>
      <w:lang w:val="en-GB"/>
    </w:rPr>
  </w:style>
  <w:style w:type="character" w:customStyle="1" w:styleId="SprechblasentextZchn">
    <w:name w:val="Sprechblasentext Zchn"/>
    <w:basedOn w:val="Bekezdsalapbettpusa"/>
    <w:link w:val="Buborkszveg"/>
    <w:uiPriority w:val="99"/>
    <w:semiHidden/>
    <w:rsid w:val="008375AF"/>
    <w:rPr>
      <w:rFonts w:ascii="Tahoma" w:hAnsi="Tahoma" w:cs="Tahoma"/>
      <w:sz w:val="16"/>
      <w:szCs w:val="16"/>
      <w:lang w:val="en-GB"/>
    </w:rPr>
  </w:style>
  <w:style w:type="paragraph" w:styleId="llb">
    <w:name w:val="footer"/>
    <w:basedOn w:val="Norml"/>
    <w:link w:val="FuzeileZchn"/>
    <w:uiPriority w:val="99"/>
    <w:rsid w:val="0076429C"/>
    <w:pPr>
      <w:widowControl w:val="0"/>
      <w:tabs>
        <w:tab w:val="center" w:pos="4536"/>
        <w:tab w:val="right" w:pos="9072"/>
      </w:tabs>
      <w:suppressAutoHyphens/>
    </w:pPr>
    <w:rPr>
      <w:sz w:val="20"/>
      <w:lang w:val="en-US" w:eastAsia="ar-SA"/>
    </w:rPr>
  </w:style>
  <w:style w:type="character" w:customStyle="1" w:styleId="FuzeileZchn">
    <w:name w:val="Fußzeile Zchn"/>
    <w:basedOn w:val="Bekezdsalapbettpusa"/>
    <w:link w:val="llb"/>
    <w:uiPriority w:val="99"/>
    <w:rsid w:val="0076429C"/>
    <w:rPr>
      <w:rFonts w:ascii="Times New Roman" w:eastAsia="Times New Roman" w:hAnsi="Times New Roman" w:cs="Times New Roman"/>
      <w:sz w:val="20"/>
      <w:szCs w:val="20"/>
      <w:lang w:val="en-US" w:eastAsia="ar-SA"/>
    </w:rPr>
  </w:style>
  <w:style w:type="paragraph" w:customStyle="1" w:styleId="Equationlegend">
    <w:name w:val="Equation_legend"/>
    <w:basedOn w:val="Normlbehzs"/>
    <w:rsid w:val="00283121"/>
    <w:pPr>
      <w:tabs>
        <w:tab w:val="right" w:pos="1701"/>
        <w:tab w:val="left" w:pos="1985"/>
      </w:tabs>
      <w:overflowPunct w:val="0"/>
      <w:autoSpaceDE w:val="0"/>
      <w:autoSpaceDN w:val="0"/>
      <w:adjustRightInd w:val="0"/>
      <w:spacing w:before="80" w:after="0" w:line="240" w:lineRule="auto"/>
      <w:ind w:left="1985" w:hanging="1985"/>
      <w:jc w:val="both"/>
      <w:textAlignment w:val="baseline"/>
    </w:pPr>
    <w:rPr>
      <w:rFonts w:ascii="Times New Roman" w:eastAsia="Times New Roman" w:hAnsi="Times New Roman" w:cs="Times New Roman"/>
      <w:sz w:val="24"/>
      <w:szCs w:val="20"/>
      <w:lang w:val="en-US"/>
    </w:rPr>
  </w:style>
  <w:style w:type="paragraph" w:customStyle="1" w:styleId="Blanc">
    <w:name w:val="Blanc"/>
    <w:basedOn w:val="Norml"/>
    <w:next w:val="Norml"/>
    <w:rsid w:val="00283121"/>
    <w:pPr>
      <w:keepNext/>
      <w:keepLines/>
      <w:tabs>
        <w:tab w:val="clear" w:pos="794"/>
        <w:tab w:val="clear" w:pos="1191"/>
        <w:tab w:val="clear" w:pos="1588"/>
        <w:tab w:val="clear" w:pos="1985"/>
      </w:tabs>
      <w:spacing w:before="0"/>
    </w:pPr>
    <w:rPr>
      <w:sz w:val="16"/>
      <w:lang w:val="en-GB"/>
    </w:rPr>
  </w:style>
  <w:style w:type="paragraph" w:styleId="Normlbehzs">
    <w:name w:val="Normal Indent"/>
    <w:basedOn w:val="Norml"/>
    <w:uiPriority w:val="99"/>
    <w:semiHidden/>
    <w:unhideWhenUsed/>
    <w:rsid w:val="00283121"/>
    <w:pPr>
      <w:tabs>
        <w:tab w:val="clear" w:pos="794"/>
        <w:tab w:val="clear" w:pos="1191"/>
        <w:tab w:val="clear" w:pos="1588"/>
        <w:tab w:val="clear" w:pos="1985"/>
      </w:tabs>
      <w:overflowPunct/>
      <w:autoSpaceDE/>
      <w:autoSpaceDN/>
      <w:adjustRightInd/>
      <w:spacing w:before="0" w:after="200" w:line="276" w:lineRule="auto"/>
      <w:ind w:left="708"/>
      <w:jc w:val="left"/>
      <w:textAlignment w:val="auto"/>
    </w:pPr>
    <w:rPr>
      <w:rFonts w:asciiTheme="minorHAnsi" w:eastAsiaTheme="minorHAnsi" w:hAnsiTheme="minorHAnsi" w:cstheme="minorBidi"/>
      <w:sz w:val="22"/>
      <w:szCs w:val="22"/>
      <w:lang w:val="en-GB"/>
    </w:rPr>
  </w:style>
  <w:style w:type="paragraph" w:styleId="Listaszerbekezds">
    <w:name w:val="List Paragraph"/>
    <w:basedOn w:val="Norml"/>
    <w:uiPriority w:val="34"/>
    <w:qFormat/>
    <w:rsid w:val="00283121"/>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HAnsi" w:hAnsiTheme="minorHAnsi" w:cstheme="minorBidi"/>
      <w:sz w:val="22"/>
      <w:szCs w:val="22"/>
      <w:lang w:val="en-GB"/>
    </w:rPr>
  </w:style>
  <w:style w:type="character" w:customStyle="1" w:styleId="berschrift2Zchn">
    <w:name w:val="Überschrift 2 Zchn"/>
    <w:aliases w:val="l2 Zchn,h2 Zchn"/>
    <w:basedOn w:val="Bekezdsalapbettpusa"/>
    <w:link w:val="Cmsor2"/>
    <w:rsid w:val="00F85205"/>
    <w:rPr>
      <w:rFonts w:ascii="Times New Roman" w:eastAsia="Times New Roman" w:hAnsi="Times New Roman" w:cs="Times New Roman"/>
      <w:b/>
      <w:sz w:val="24"/>
      <w:szCs w:val="20"/>
      <w:lang w:val="en-GB"/>
    </w:rPr>
  </w:style>
  <w:style w:type="paragraph" w:customStyle="1" w:styleId="FigureNo">
    <w:name w:val="Figure_No"/>
    <w:basedOn w:val="Norml"/>
    <w:next w:val="Norml"/>
    <w:link w:val="FigureNoChar"/>
    <w:uiPriority w:val="99"/>
    <w:rsid w:val="00F85205"/>
    <w:pPr>
      <w:keepNext/>
      <w:keepLines/>
      <w:tabs>
        <w:tab w:val="left" w:pos="1134"/>
        <w:tab w:val="left" w:pos="1871"/>
        <w:tab w:val="left" w:pos="2268"/>
      </w:tabs>
      <w:spacing w:before="480" w:after="120"/>
      <w:jc w:val="center"/>
    </w:pPr>
    <w:rPr>
      <w:caps/>
      <w:sz w:val="20"/>
    </w:rPr>
  </w:style>
  <w:style w:type="character" w:customStyle="1" w:styleId="FigureNoChar">
    <w:name w:val="Figure_No Char"/>
    <w:link w:val="FigureNo"/>
    <w:uiPriority w:val="99"/>
    <w:locked/>
    <w:rsid w:val="00F85205"/>
    <w:rPr>
      <w:rFonts w:ascii="Times New Roman" w:eastAsia="Times New Roman" w:hAnsi="Times New Roman" w:cs="Times New Roman"/>
      <w:caps/>
      <w:sz w:val="20"/>
      <w:szCs w:val="20"/>
      <w:lang w:val="en-GB"/>
    </w:rPr>
  </w:style>
  <w:style w:type="paragraph" w:customStyle="1" w:styleId="Figuretitle">
    <w:name w:val="Figure_title"/>
    <w:basedOn w:val="Norml"/>
    <w:next w:val="Norml"/>
    <w:link w:val="FiguretitleChar"/>
    <w:uiPriority w:val="99"/>
    <w:rsid w:val="00F85205"/>
    <w:pPr>
      <w:keepNext/>
      <w:keepLines/>
      <w:tabs>
        <w:tab w:val="left" w:pos="1134"/>
        <w:tab w:val="left" w:pos="1871"/>
        <w:tab w:val="left" w:pos="2268"/>
      </w:tabs>
      <w:spacing w:after="480"/>
      <w:jc w:val="center"/>
    </w:pPr>
    <w:rPr>
      <w:rFonts w:ascii="Times New Roman Bold" w:hAnsi="Times New Roman Bold"/>
      <w:b/>
      <w:sz w:val="20"/>
    </w:rPr>
  </w:style>
  <w:style w:type="character" w:customStyle="1" w:styleId="FiguretitleChar">
    <w:name w:val="Figure_title Char"/>
    <w:link w:val="Figuretitle"/>
    <w:uiPriority w:val="99"/>
    <w:locked/>
    <w:rsid w:val="00F85205"/>
    <w:rPr>
      <w:rFonts w:ascii="Times New Roman Bold" w:eastAsia="Times New Roman" w:hAnsi="Times New Roman Bold" w:cs="Times New Roman"/>
      <w:b/>
      <w:sz w:val="20"/>
      <w:szCs w:val="20"/>
      <w:lang w:val="en-GB"/>
    </w:rPr>
  </w:style>
  <w:style w:type="character" w:customStyle="1" w:styleId="berschrift1Zchn">
    <w:name w:val="Überschrift 1 Zchn"/>
    <w:basedOn w:val="Bekezdsalapbettpusa"/>
    <w:link w:val="Cmsor1"/>
    <w:uiPriority w:val="9"/>
    <w:rsid w:val="00F85205"/>
    <w:rPr>
      <w:rFonts w:asciiTheme="majorHAnsi" w:eastAsiaTheme="majorEastAsia" w:hAnsiTheme="majorHAnsi" w:cstheme="majorBidi"/>
      <w:b/>
      <w:bCs/>
      <w:color w:val="365F91" w:themeColor="accent1" w:themeShade="BF"/>
      <w:sz w:val="28"/>
      <w:szCs w:val="28"/>
      <w:lang w:val="en-GB"/>
    </w:rPr>
  </w:style>
  <w:style w:type="paragraph" w:customStyle="1" w:styleId="enumlev1">
    <w:name w:val="enumlev1"/>
    <w:basedOn w:val="Norml"/>
    <w:link w:val="enumlev1Char"/>
    <w:rsid w:val="002070A6"/>
    <w:pPr>
      <w:spacing w:before="80"/>
      <w:ind w:left="794" w:hanging="794"/>
    </w:pPr>
  </w:style>
  <w:style w:type="character" w:customStyle="1" w:styleId="enumlev1Char">
    <w:name w:val="enumlev1 Char"/>
    <w:basedOn w:val="Bekezdsalapbettpusa"/>
    <w:link w:val="enumlev1"/>
    <w:locked/>
    <w:rsid w:val="002070A6"/>
    <w:rPr>
      <w:rFonts w:ascii="Times New Roman" w:eastAsia="Times New Roman" w:hAnsi="Times New Roman" w:cs="Times New Roman"/>
      <w:sz w:val="24"/>
      <w:szCs w:val="20"/>
      <w:lang w:val="fr-FR"/>
    </w:rPr>
  </w:style>
  <w:style w:type="paragraph" w:customStyle="1" w:styleId="Note">
    <w:name w:val="Note"/>
    <w:basedOn w:val="Norml"/>
    <w:rsid w:val="002070A6"/>
    <w:pPr>
      <w:tabs>
        <w:tab w:val="clear" w:pos="794"/>
        <w:tab w:val="clear" w:pos="1191"/>
        <w:tab w:val="clear" w:pos="1588"/>
        <w:tab w:val="clear" w:pos="1985"/>
      </w:tabs>
      <w:spacing w:before="80"/>
    </w:pPr>
    <w:rPr>
      <w:sz w:val="22"/>
    </w:rPr>
  </w:style>
  <w:style w:type="paragraph" w:customStyle="1" w:styleId="Tablehead">
    <w:name w:val="Table_head"/>
    <w:basedOn w:val="Norml"/>
    <w:next w:val="Norml"/>
    <w:rsid w:val="002070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l"/>
    <w:rsid w:val="002070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text">
    <w:name w:val="Table_text"/>
    <w:basedOn w:val="Norml"/>
    <w:link w:val="TabletextChar"/>
    <w:rsid w:val="002070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Bekezdsalapbettpusa"/>
    <w:link w:val="Tabletext"/>
    <w:locked/>
    <w:rsid w:val="002070A6"/>
    <w:rPr>
      <w:rFonts w:ascii="Times New Roman" w:eastAsia="Times New Roman" w:hAnsi="Times New Roman" w:cs="Times New Roman"/>
      <w:szCs w:val="20"/>
      <w:lang w:val="fr-FR"/>
    </w:rPr>
  </w:style>
  <w:style w:type="paragraph" w:customStyle="1" w:styleId="TableNo">
    <w:name w:val="Table_No"/>
    <w:basedOn w:val="Norml"/>
    <w:next w:val="Norml"/>
    <w:rsid w:val="002070A6"/>
    <w:pPr>
      <w:keepNext/>
      <w:spacing w:before="360" w:after="120"/>
      <w:jc w:val="center"/>
    </w:pPr>
  </w:style>
  <w:style w:type="paragraph" w:customStyle="1" w:styleId="Tabletitle">
    <w:name w:val="Table_title"/>
    <w:basedOn w:val="Norml"/>
    <w:next w:val="Tablehead"/>
    <w:rsid w:val="002070A6"/>
    <w:pPr>
      <w:keepNext/>
      <w:spacing w:before="0" w:after="120"/>
      <w:jc w:val="center"/>
    </w:pPr>
    <w:rPr>
      <w:b/>
    </w:rPr>
  </w:style>
  <w:style w:type="paragraph" w:styleId="lfej">
    <w:name w:val="header"/>
    <w:basedOn w:val="Norml"/>
    <w:link w:val="KopfzeileZchn"/>
    <w:uiPriority w:val="99"/>
    <w:semiHidden/>
    <w:unhideWhenUsed/>
    <w:rsid w:val="001F201E"/>
    <w:pPr>
      <w:tabs>
        <w:tab w:val="clear" w:pos="794"/>
        <w:tab w:val="clear" w:pos="1191"/>
        <w:tab w:val="clear" w:pos="1588"/>
        <w:tab w:val="clear" w:pos="1985"/>
        <w:tab w:val="center" w:pos="4536"/>
        <w:tab w:val="right" w:pos="9072"/>
      </w:tabs>
      <w:spacing w:before="0"/>
    </w:pPr>
  </w:style>
  <w:style w:type="character" w:customStyle="1" w:styleId="KopfzeileZchn">
    <w:name w:val="Kopfzeile Zchn"/>
    <w:basedOn w:val="Bekezdsalapbettpusa"/>
    <w:link w:val="lfej"/>
    <w:uiPriority w:val="99"/>
    <w:semiHidden/>
    <w:rsid w:val="001F201E"/>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7067</Characters>
  <Application>Microsoft Office Word</Application>
  <DocSecurity>0</DocSecurity>
  <Lines>58</Lines>
  <Paragraphs>16</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NCA</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Simon István</cp:lastModifiedBy>
  <cp:revision>2</cp:revision>
  <cp:lastPrinted>2016-02-18T11:16:00Z</cp:lastPrinted>
  <dcterms:created xsi:type="dcterms:W3CDTF">2017-10-17T18:40:00Z</dcterms:created>
  <dcterms:modified xsi:type="dcterms:W3CDTF">2017-10-17T18:40:00Z</dcterms:modified>
</cp:coreProperties>
</file>